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68A0" w14:textId="63AF4639" w:rsidR="004F4D91" w:rsidRDefault="004F4D91" w:rsidP="004F4D91">
      <w:pPr>
        <w:widowControl w:val="0"/>
        <w:autoSpaceDE w:val="0"/>
        <w:autoSpaceDN w:val="0"/>
        <w:adjustRightInd w:val="0"/>
        <w:rPr>
          <w:rFonts w:cs="Times"/>
          <w:b/>
          <w:bCs/>
        </w:rPr>
      </w:pPr>
      <w:r>
        <w:rPr>
          <w:b/>
        </w:rPr>
        <w:t>ZUR SOFORTIGEN VERÖFFENTLICHUNG</w:t>
      </w:r>
      <w:r>
        <w:tab/>
      </w:r>
      <w:r>
        <w:rPr>
          <w:b/>
        </w:rPr>
        <w:t>KONTAKT</w:t>
      </w:r>
    </w:p>
    <w:p w14:paraId="6612E27D" w14:textId="0454D955" w:rsidR="004F4D91" w:rsidRPr="00BC1573" w:rsidRDefault="00BC1573" w:rsidP="004F4D91">
      <w:pPr>
        <w:widowControl w:val="0"/>
        <w:autoSpaceDE w:val="0"/>
        <w:autoSpaceDN w:val="0"/>
        <w:adjustRightInd w:val="0"/>
        <w:ind w:left="4320" w:firstLine="720"/>
        <w:rPr>
          <w:rFonts w:cs="Times New Roman"/>
          <w:color w:val="FF0000"/>
        </w:rPr>
      </w:pPr>
      <w:r>
        <w:t>Terry Emerson</w:t>
      </w:r>
    </w:p>
    <w:p w14:paraId="7D87CAF8" w14:textId="3B5244FB" w:rsidR="004F4D91" w:rsidRPr="00BC1573" w:rsidRDefault="004F4D91" w:rsidP="004F4D91">
      <w:pPr>
        <w:widowControl w:val="0"/>
        <w:autoSpaceDE w:val="0"/>
        <w:autoSpaceDN w:val="0"/>
        <w:adjustRightInd w:val="0"/>
        <w:ind w:left="3600" w:firstLine="720"/>
        <w:rPr>
          <w:rFonts w:cs="Times New Roman"/>
          <w:color w:val="FF0000"/>
        </w:rPr>
      </w:pPr>
      <w:r>
        <w:tab/>
      </w:r>
      <w:hyperlink r:id="rId8">
        <w:r>
          <w:rPr>
            <w:rStyle w:val="Hyperlink"/>
          </w:rPr>
          <w:t>terry.emerson@samtec.com</w:t>
        </w:r>
      </w:hyperlink>
      <w:bookmarkStart w:id="0" w:name="_GoBack"/>
      <w:bookmarkEnd w:id="0"/>
    </w:p>
    <w:p w14:paraId="5D828C12" w14:textId="10A5997F" w:rsidR="004F4D91" w:rsidRPr="00BC1573" w:rsidRDefault="004F4D91" w:rsidP="004F4D91">
      <w:pPr>
        <w:widowControl w:val="0"/>
        <w:autoSpaceDE w:val="0"/>
        <w:autoSpaceDN w:val="0"/>
        <w:adjustRightInd w:val="0"/>
        <w:ind w:left="3600" w:firstLine="720"/>
        <w:rPr>
          <w:rFonts w:cs="Times"/>
        </w:rPr>
      </w:pPr>
      <w:r>
        <w:tab/>
        <w:t>+1 812-981-8304</w:t>
      </w:r>
    </w:p>
    <w:p w14:paraId="399D6405" w14:textId="77777777" w:rsidR="004F4D91" w:rsidRDefault="004F4D91" w:rsidP="00722338">
      <w:pPr>
        <w:rPr>
          <w:b/>
        </w:rPr>
      </w:pPr>
    </w:p>
    <w:p w14:paraId="4574FAC2" w14:textId="04D64252" w:rsidR="00722338" w:rsidRPr="00F54843" w:rsidRDefault="00722338" w:rsidP="00927277">
      <w:pPr>
        <w:rPr>
          <w:b/>
        </w:rPr>
      </w:pPr>
      <w:r>
        <w:rPr>
          <w:b/>
        </w:rPr>
        <w:t>[SAMTEC LOGO]</w:t>
      </w:r>
      <w:r>
        <w:tab/>
      </w:r>
      <w:r>
        <w:tab/>
      </w:r>
      <w:r>
        <w:tab/>
      </w:r>
      <w:r>
        <w:tab/>
      </w:r>
      <w:r>
        <w:tab/>
      </w:r>
      <w:r w:rsidR="00AC6873">
        <w:tab/>
      </w:r>
      <w:r w:rsidR="00AC6873">
        <w:tab/>
      </w:r>
      <w:r>
        <w:rPr>
          <w:b/>
        </w:rPr>
        <w:t>Februar 2018</w:t>
      </w:r>
    </w:p>
    <w:p w14:paraId="33C4C655" w14:textId="77777777" w:rsidR="00722338" w:rsidRPr="00F54843" w:rsidRDefault="00722338" w:rsidP="002D3D34"/>
    <w:p w14:paraId="5C0D69B1" w14:textId="11C6FFD7" w:rsidR="003E38B6" w:rsidRPr="009D5505" w:rsidRDefault="0025708F" w:rsidP="00176A3D">
      <w:pPr>
        <w:jc w:val="center"/>
        <w:rPr>
          <w:rFonts w:cs="Arial"/>
          <w:b/>
          <w:shd w:val="clear" w:color="auto" w:fill="FFFFFF"/>
        </w:rPr>
      </w:pPr>
      <w:r>
        <w:rPr>
          <w:b/>
        </w:rPr>
        <w:t>EXTreme Ten60Power™ von Samtec jetzt mit höherer Kontaktdichte und als AC-Version erhältlich</w:t>
      </w:r>
    </w:p>
    <w:p w14:paraId="25127F9B" w14:textId="51B613A1" w:rsidR="00D55703" w:rsidRPr="00FF3709" w:rsidRDefault="00D55703" w:rsidP="00176A3D">
      <w:pPr>
        <w:jc w:val="center"/>
        <w:rPr>
          <w:rFonts w:cs="Arial"/>
          <w:b/>
          <w:shd w:val="clear" w:color="auto" w:fill="FFFFFF"/>
        </w:rPr>
      </w:pPr>
    </w:p>
    <w:p w14:paraId="48380F32" w14:textId="2BA91A45" w:rsidR="00926777" w:rsidRDefault="00867BBF" w:rsidP="00CB30CF">
      <w:pPr>
        <w:jc w:val="center"/>
        <w:outlineLvl w:val="0"/>
      </w:pPr>
      <w:r>
        <w:t xml:space="preserve">EXTreme-System für die Leistungs- und Signalübertragung bis 60 A pro Messer bei </w:t>
      </w:r>
      <w:r w:rsidR="004851B2">
        <w:t xml:space="preserve">nur </w:t>
      </w:r>
      <w:r>
        <w:t>10 mm Bauhöhe</w:t>
      </w:r>
    </w:p>
    <w:p w14:paraId="57CF50DA" w14:textId="77777777" w:rsidR="003F252B" w:rsidRPr="004B70AC" w:rsidRDefault="003F252B" w:rsidP="007B7073">
      <w:pPr>
        <w:rPr>
          <w:b/>
        </w:rPr>
      </w:pPr>
    </w:p>
    <w:p w14:paraId="7A925FD9" w14:textId="5B55918A" w:rsidR="00437B50" w:rsidRDefault="000E5271" w:rsidP="00841CD9">
      <w:pPr>
        <w:rPr>
          <w:color w:val="000000" w:themeColor="text1"/>
        </w:rPr>
      </w:pPr>
      <w:r>
        <w:rPr>
          <w:b/>
          <w:color w:val="000000" w:themeColor="text1"/>
        </w:rPr>
        <w:t>New Albany, Indiana (USA):</w:t>
      </w:r>
      <w:r>
        <w:rPr>
          <w:color w:val="000000" w:themeColor="text1"/>
        </w:rPr>
        <w:t xml:space="preserve"> Samtec hat das Steckverbindungssystem EXTreme Ten60Power™ um Versionen mit höherer Signalkontakt</w:t>
      </w:r>
      <w:r w:rsidR="00563FC6">
        <w:rPr>
          <w:color w:val="000000" w:themeColor="text1"/>
        </w:rPr>
        <w:t>- und Strom</w:t>
      </w:r>
      <w:r>
        <w:rPr>
          <w:color w:val="000000" w:themeColor="text1"/>
        </w:rPr>
        <w:t xml:space="preserve">dichte </w:t>
      </w:r>
      <w:r w:rsidR="00563FC6">
        <w:rPr>
          <w:color w:val="000000" w:themeColor="text1"/>
        </w:rPr>
        <w:t>sowie um</w:t>
      </w:r>
      <w:r>
        <w:rPr>
          <w:color w:val="000000" w:themeColor="text1"/>
        </w:rPr>
        <w:t xml:space="preserve"> </w:t>
      </w:r>
      <w:r w:rsidR="00563FC6">
        <w:rPr>
          <w:color w:val="000000" w:themeColor="text1"/>
        </w:rPr>
        <w:t>Wechselstrom-</w:t>
      </w:r>
      <w:r>
        <w:rPr>
          <w:color w:val="000000" w:themeColor="text1"/>
        </w:rPr>
        <w:t>Ausführungen erweitert.</w:t>
      </w:r>
    </w:p>
    <w:p w14:paraId="1E6E3FC0" w14:textId="77777777" w:rsidR="00E757A0" w:rsidRDefault="00E757A0" w:rsidP="00841CD9">
      <w:pPr>
        <w:rPr>
          <w:color w:val="000000" w:themeColor="text1"/>
        </w:rPr>
      </w:pPr>
    </w:p>
    <w:p w14:paraId="2D3EA488" w14:textId="5BC162D7" w:rsidR="00860362" w:rsidRDefault="00E757A0" w:rsidP="00841CD9">
      <w:pPr>
        <w:rPr>
          <w:color w:val="000000" w:themeColor="text1"/>
        </w:rPr>
      </w:pPr>
      <w:r>
        <w:rPr>
          <w:color w:val="000000" w:themeColor="text1"/>
        </w:rPr>
        <w:t>Samtecs St</w:t>
      </w:r>
      <w:r w:rsidR="00563FC6">
        <w:rPr>
          <w:color w:val="000000" w:themeColor="text1"/>
        </w:rPr>
        <w:t>iftleisten</w:t>
      </w:r>
      <w:r>
        <w:rPr>
          <w:color w:val="000000" w:themeColor="text1"/>
        </w:rPr>
        <w:t>- und Buchsensystem EXTreme Ten60Power™ (</w:t>
      </w:r>
      <w:hyperlink r:id="rId9">
        <w:r>
          <w:rPr>
            <w:rStyle w:val="Hyperlink"/>
          </w:rPr>
          <w:t>ET60T</w:t>
        </w:r>
      </w:hyperlink>
      <w:r>
        <w:rPr>
          <w:color w:val="000000" w:themeColor="text1"/>
        </w:rPr>
        <w:t>/</w:t>
      </w:r>
      <w:hyperlink r:id="rId10">
        <w:r>
          <w:rPr>
            <w:rStyle w:val="Hyperlink"/>
          </w:rPr>
          <w:t>ET60S</w:t>
        </w:r>
      </w:hyperlink>
      <w:r>
        <w:rPr>
          <w:color w:val="000000" w:themeColor="text1"/>
        </w:rPr>
        <w:t>) ist sowohl in hybrider Leistungs- und Signalausführung als auch in reiner Stromversorgungsversion erhältlich</w:t>
      </w:r>
      <w:r w:rsidR="00563FC6" w:rsidRPr="00563FC6">
        <w:rPr>
          <w:color w:val="000000" w:themeColor="text1"/>
        </w:rPr>
        <w:t xml:space="preserve"> </w:t>
      </w:r>
      <w:r w:rsidR="00563FC6">
        <w:rPr>
          <w:color w:val="000000" w:themeColor="text1"/>
        </w:rPr>
        <w:t>und bietet so mehr Entwurfsfreiheit</w:t>
      </w:r>
      <w:r>
        <w:rPr>
          <w:color w:val="000000" w:themeColor="text1"/>
        </w:rPr>
        <w:t>. Die neue 5-reihige Signalausführung bringt auf demselben Platz wie die 3-reihige Option bis zu 40 Kontakte unter. Die höhere Kontaktdichte ohne mehr Platzbedarf ist möglich, weil die 5-reihige Auslegung ein 2,0-mm-Rastermaß aufweist und der 3-Reiher ein Rastermaß von 2,54 mm.</w:t>
      </w:r>
    </w:p>
    <w:p w14:paraId="14191278" w14:textId="77777777" w:rsidR="00612064" w:rsidRDefault="00612064" w:rsidP="00841CD9">
      <w:pPr>
        <w:rPr>
          <w:color w:val="000000" w:themeColor="text1"/>
        </w:rPr>
      </w:pPr>
    </w:p>
    <w:p w14:paraId="1414B141" w14:textId="238A0E74" w:rsidR="00206E6F" w:rsidRDefault="00612064" w:rsidP="00612064">
      <w:pPr>
        <w:rPr>
          <w:color w:val="000000" w:themeColor="text1"/>
        </w:rPr>
      </w:pPr>
      <w:r>
        <w:rPr>
          <w:color w:val="000000" w:themeColor="text1"/>
        </w:rPr>
        <w:t xml:space="preserve">Die neue Wechselstromsteckverbindung bedeutet noch mehr Flexibilität für das modular aufgebaute System EXTreme Ten60Power™, das dank seiner Konfigurierbarkeit die meisten Anwendungsanforderungen erfüllen kann. Die Messerkontakte für Wechselstrom können aufgrund eines Rastermaßes von 7,50 mm höhere Spannungen vertragen als die Gleichstromkontakte im 5,50-mm-Rastermaß, die für niedrigere und </w:t>
      </w:r>
      <w:r w:rsidR="00563FC6">
        <w:rPr>
          <w:color w:val="000000" w:themeColor="text1"/>
        </w:rPr>
        <w:t xml:space="preserve">eher </w:t>
      </w:r>
      <w:r>
        <w:rPr>
          <w:color w:val="000000" w:themeColor="text1"/>
        </w:rPr>
        <w:t xml:space="preserve">konstante Spannungen ausgelegt sind. Darüber hinaus können die Messer für die Stromübertragung selektiv bestückt werden, um </w:t>
      </w:r>
      <w:r w:rsidR="00563FC6">
        <w:rPr>
          <w:color w:val="000000" w:themeColor="text1"/>
        </w:rPr>
        <w:t>Vorgaben in Bezug auf</w:t>
      </w:r>
      <w:r>
        <w:rPr>
          <w:color w:val="000000" w:themeColor="text1"/>
        </w:rPr>
        <w:t xml:space="preserve"> Kriech</w:t>
      </w:r>
      <w:r w:rsidR="00AC6873">
        <w:rPr>
          <w:color w:val="000000" w:themeColor="text1"/>
        </w:rPr>
        <w:t>- und Luftstrecken</w:t>
      </w:r>
      <w:r>
        <w:rPr>
          <w:color w:val="000000" w:themeColor="text1"/>
        </w:rPr>
        <w:t xml:space="preserve"> erfüllen</w:t>
      </w:r>
      <w:r w:rsidR="00563FC6">
        <w:rPr>
          <w:color w:val="000000" w:themeColor="text1"/>
        </w:rPr>
        <w:t xml:space="preserve"> zu können</w:t>
      </w:r>
      <w:r>
        <w:rPr>
          <w:color w:val="000000" w:themeColor="text1"/>
        </w:rPr>
        <w:t xml:space="preserve">. </w:t>
      </w:r>
    </w:p>
    <w:p w14:paraId="60F7A961" w14:textId="77777777" w:rsidR="00206E6F" w:rsidRDefault="00206E6F" w:rsidP="00612064">
      <w:pPr>
        <w:rPr>
          <w:color w:val="000000" w:themeColor="text1"/>
        </w:rPr>
      </w:pPr>
    </w:p>
    <w:p w14:paraId="3211C14C" w14:textId="503A3729" w:rsidR="00802F7F" w:rsidRDefault="00206E6F" w:rsidP="0052146D">
      <w:pPr>
        <w:rPr>
          <w:color w:val="000000" w:themeColor="text1"/>
        </w:rPr>
      </w:pPr>
      <w:r>
        <w:rPr>
          <w:color w:val="000000" w:themeColor="text1"/>
        </w:rPr>
        <w:t xml:space="preserve">Die Steckverbinder der Familie EXTreme Ten60Power™ sind bis zu 60 A je Strommesserkontakt tragfähig und überzeugen durch das 10 mm flache Profil mit optimierter Systemluftströmung. Neben symmetrischen oder asymmetrischen Stromkontaktkonfigurationen sind auch AC- und DC-Kombinationen erhältlich. Eine leistungsteilende Option befindet sich in der Entwicklung. Dieses System kann im laufenden Betrieb </w:t>
      </w:r>
      <w:r w:rsidR="00563FC6">
        <w:rPr>
          <w:color w:val="000000" w:themeColor="text1"/>
        </w:rPr>
        <w:t>gesteckt und getrennt</w:t>
      </w:r>
      <w:r>
        <w:rPr>
          <w:color w:val="000000" w:themeColor="text1"/>
        </w:rPr>
        <w:t xml:space="preserve"> werden und ist spannungsfest bis 250 V.</w:t>
      </w:r>
    </w:p>
    <w:p w14:paraId="74E690C7" w14:textId="77777777" w:rsidR="00802F7F" w:rsidRDefault="00802F7F" w:rsidP="0052146D">
      <w:pPr>
        <w:rPr>
          <w:color w:val="000000" w:themeColor="text1"/>
        </w:rPr>
      </w:pPr>
    </w:p>
    <w:p w14:paraId="2D81BE30" w14:textId="7F542B4A" w:rsidR="00343F56" w:rsidRDefault="0052146D" w:rsidP="00343F56">
      <w:pPr>
        <w:rPr>
          <w:color w:val="000000" w:themeColor="text1"/>
        </w:rPr>
      </w:pPr>
      <w:r>
        <w:rPr>
          <w:color w:val="000000" w:themeColor="text1"/>
        </w:rPr>
        <w:t xml:space="preserve">Die Winkelstecker und -buchsen für die Durchsteckmontage </w:t>
      </w:r>
      <w:r w:rsidR="00AC6873">
        <w:rPr>
          <w:color w:val="000000" w:themeColor="text1"/>
        </w:rPr>
        <w:t>sind die ideale Wahl</w:t>
      </w:r>
      <w:r>
        <w:rPr>
          <w:color w:val="000000" w:themeColor="text1"/>
        </w:rPr>
        <w:t xml:space="preserve"> für koplanare Anwendungen. Die Buchse ist ebenfalls in gerader Ausführung für das senkrechte Aufstecken und mit Einpressstiften für den anwenderfreundlichen Anschluss an die Leiterplatte erhältlich. Stabile Führungsstifte gehören zum Standard und helfen beim Stecken ohne Sichtkontakt. Um weiteren </w:t>
      </w:r>
      <w:r w:rsidR="00563FC6">
        <w:rPr>
          <w:color w:val="000000" w:themeColor="text1"/>
        </w:rPr>
        <w:t xml:space="preserve">Platz auf der </w:t>
      </w:r>
      <w:r>
        <w:rPr>
          <w:color w:val="000000" w:themeColor="text1"/>
        </w:rPr>
        <w:lastRenderedPageBreak/>
        <w:t xml:space="preserve">Leiterplatte einzusparen, wird an der Entwicklung eines Winkelsteckverbinders mit Führungsstift oben – anstatt seitlich – gearbeitet. </w:t>
      </w:r>
    </w:p>
    <w:p w14:paraId="332DAD8B" w14:textId="77777777" w:rsidR="00ED008E" w:rsidRPr="00343F56" w:rsidRDefault="00ED008E" w:rsidP="00343F56">
      <w:pPr>
        <w:rPr>
          <w:color w:val="000000" w:themeColor="text1"/>
        </w:rPr>
      </w:pPr>
    </w:p>
    <w:p w14:paraId="47AD3C3D" w14:textId="5DE16F96" w:rsidR="00612064" w:rsidRDefault="007C3B42" w:rsidP="00612064">
      <w:pPr>
        <w:rPr>
          <w:color w:val="000000" w:themeColor="text1"/>
        </w:rPr>
      </w:pPr>
      <w:r>
        <w:rPr>
          <w:color w:val="000000" w:themeColor="text1"/>
        </w:rPr>
        <w:t xml:space="preserve">Zu den Leistungsprodukten von Samtec gehört ebenfalls die PowerStrip™-Linie mit drei nach Größe und Stromtragfähigkeit unterschiedenen Produktstufen: PowerStrip™/35, PowerStrip™/25 und PowerStrip™/15. Die PowerStrip™-Familie umfasst </w:t>
      </w:r>
      <w:r w:rsidR="00563FC6">
        <w:rPr>
          <w:color w:val="000000" w:themeColor="text1"/>
        </w:rPr>
        <w:t>darüber hinaus</w:t>
      </w:r>
      <w:r>
        <w:rPr>
          <w:color w:val="000000" w:themeColor="text1"/>
        </w:rPr>
        <w:t xml:space="preserve"> konfektionierte Einzeldrahtkabel für die reine Strom- als auch die kombinierte Strom- und Signalübertragung, Leistungs- und Leistungs-/Signal-Kombisteckverbindungen in gewinkelter und gerader Ausführung, sowie ein </w:t>
      </w:r>
      <w:r w:rsidR="00563FC6">
        <w:rPr>
          <w:color w:val="000000" w:themeColor="text1"/>
        </w:rPr>
        <w:t xml:space="preserve">im Kontaktbereich </w:t>
      </w:r>
      <w:r>
        <w:rPr>
          <w:color w:val="000000" w:themeColor="text1"/>
        </w:rPr>
        <w:t>gelenkig verbundenes Stecksystem und Einpressanschlüsse für Anwendungen auf Platinenebene.</w:t>
      </w:r>
    </w:p>
    <w:p w14:paraId="20E639AC" w14:textId="77777777" w:rsidR="00612064" w:rsidRDefault="00612064" w:rsidP="00841CD9">
      <w:pPr>
        <w:rPr>
          <w:color w:val="000000" w:themeColor="text1"/>
        </w:rPr>
      </w:pPr>
    </w:p>
    <w:p w14:paraId="0C11998D" w14:textId="2DDC7E9B" w:rsidR="00DD1BEC" w:rsidRPr="007D5210" w:rsidRDefault="008841A7" w:rsidP="005B3834">
      <w:r>
        <w:t xml:space="preserve">Weiterführende Informationen über die gesamte Produktpalette EXTreme Ten60Power™ finden Sie auf der Website </w:t>
      </w:r>
      <w:hyperlink r:id="rId11">
        <w:r>
          <w:rPr>
            <w:rStyle w:val="Hyperlink"/>
          </w:rPr>
          <w:t>Samtec EXTreme Ten60Power™</w:t>
        </w:r>
      </w:hyperlink>
      <w:r>
        <w:t xml:space="preserve"> oder </w:t>
      </w:r>
      <w:r w:rsidR="00AC6873">
        <w:t xml:space="preserve">Sie </w:t>
      </w:r>
      <w:r>
        <w:t xml:space="preserve">probieren Samtecs Online-Tool </w:t>
      </w:r>
      <w:hyperlink r:id="rId12">
        <w:r>
          <w:rPr>
            <w:rStyle w:val="Hyperlink"/>
          </w:rPr>
          <w:t>Solutionator</w:t>
        </w:r>
        <w:r>
          <w:rPr>
            <w:rStyle w:val="Hyperlink"/>
            <w:vertAlign w:val="superscript"/>
          </w:rPr>
          <w:t>®</w:t>
        </w:r>
      </w:hyperlink>
      <w:r>
        <w:t xml:space="preserve"> aus, um Produkte zu finden, die bestimmte Anforderungen an Kriech- und Luftstrecken erfüllen. </w:t>
      </w:r>
    </w:p>
    <w:p w14:paraId="5171A07D" w14:textId="77777777" w:rsidR="00DD1BEC" w:rsidRDefault="00DD1BEC" w:rsidP="005B3834">
      <w:pPr>
        <w:rPr>
          <w:sz w:val="22"/>
          <w:szCs w:val="22"/>
        </w:rPr>
      </w:pPr>
    </w:p>
    <w:p w14:paraId="68FAD3BB" w14:textId="3EED5BC1" w:rsidR="00DD1BEC" w:rsidRPr="008B0399" w:rsidRDefault="0052146D" w:rsidP="00DD1BEC">
      <w:pPr>
        <w:rPr>
          <w:sz w:val="16"/>
          <w:szCs w:val="16"/>
        </w:rPr>
      </w:pPr>
      <w:r>
        <w:rPr>
          <w:sz w:val="16"/>
        </w:rPr>
        <w:t>EXTreme Ten60Power™ ist eine Marke der Molex Incorporated und ist auch bei Molex</w:t>
      </w:r>
      <w:r>
        <w:rPr>
          <w:sz w:val="16"/>
          <w:vertAlign w:val="superscript"/>
        </w:rPr>
        <w:t>®</w:t>
      </w:r>
      <w:r>
        <w:rPr>
          <w:sz w:val="16"/>
        </w:rPr>
        <w:t xml:space="preserve"> erhältlich.</w:t>
      </w:r>
    </w:p>
    <w:p w14:paraId="0F26CDAE" w14:textId="77777777" w:rsidR="00DD1BEC" w:rsidRPr="00DD1BEC" w:rsidRDefault="00DD1BEC" w:rsidP="00DD1BEC">
      <w:pPr>
        <w:rPr>
          <w:sz w:val="22"/>
          <w:szCs w:val="22"/>
        </w:rPr>
      </w:pPr>
    </w:p>
    <w:p w14:paraId="43F457B4" w14:textId="493099B6" w:rsidR="00054FE6" w:rsidRPr="00365A30" w:rsidRDefault="00D241F2" w:rsidP="00CB30CF">
      <w:pPr>
        <w:spacing w:before="100" w:beforeAutospacing="1" w:after="100" w:afterAutospacing="1"/>
        <w:outlineLvl w:val="0"/>
        <w:rPr>
          <w:b/>
        </w:rPr>
      </w:pPr>
      <w:r>
        <w:rPr>
          <w:b/>
        </w:rPr>
        <w:t xml:space="preserve">Über Samtec </w:t>
      </w:r>
    </w:p>
    <w:p w14:paraId="613CBA2C" w14:textId="73933F9E" w:rsidR="00F35A72" w:rsidRPr="00684CCE" w:rsidRDefault="008B6312" w:rsidP="00684CCE">
      <w:pPr>
        <w:spacing w:before="100" w:beforeAutospacing="1" w:after="100" w:afterAutospacing="1"/>
        <w:rPr>
          <w:rFonts w:cs="Arial"/>
          <w:shd w:val="clear" w:color="auto" w:fill="FFFFFF"/>
        </w:rPr>
      </w:pPr>
      <w:r>
        <w:t xml:space="preserve">Das 1976 gegründete Privatunternehmen Samtec ist ein weltweit agierender und 713 Millionen US-Dollar schwerer Hersteller einer breiten Palette an elektronischen Steckverbindungen. Dazu gehören IC-zu-Board und IC-Packaging, Hochgeschwindigkeits-Board-to-Board, Hochgeschwindigkeitskabel, Mid-Board- und Panel-Optiken sowie flexibel stapelbare, robuste und Mikro-Bauelemente und -Kabel. In unseren Samtec Technology Centers werden Technologien, Strategien und Produkte entwickelt und weiterentwickelt, um sowohl die Leistung als auch die Kosten eines Systems vom nackten Chip bis zu einer 100 Meter entfernten Schnittstelle zu optimieren – und </w:t>
      </w:r>
      <w:r w:rsidR="00AC6873">
        <w:t xml:space="preserve">natürlich </w:t>
      </w:r>
      <w:r>
        <w:t xml:space="preserve">alle Verbindungspunkte dazwischen. Mit 33 Standorten in 18 verschiedenen Ländern macht die globale Präsenz von Samtec den unerreichten Kundendienst möglich. Weiterführende Informationen finden Sie auf </w:t>
      </w:r>
      <w:hyperlink r:id="rId13">
        <w:r>
          <w:rPr>
            <w:rStyle w:val="Hyperlink"/>
            <w:shd w:val="clear" w:color="auto" w:fill="FFFFFF"/>
          </w:rPr>
          <w:t>http://www.samtec.com</w:t>
        </w:r>
      </w:hyperlink>
      <w:r>
        <w:t xml:space="preserve">. </w:t>
      </w:r>
    </w:p>
    <w:p w14:paraId="2C3E5836" w14:textId="49076C8D" w:rsidR="00054FE6" w:rsidRPr="00365A30" w:rsidRDefault="002B5934" w:rsidP="00CB30CF">
      <w:pPr>
        <w:outlineLvl w:val="0"/>
        <w:rPr>
          <w:b/>
        </w:rPr>
      </w:pPr>
      <w:r>
        <w:rPr>
          <w:b/>
        </w:rPr>
        <w:t>Samtec, Inc.</w:t>
      </w:r>
    </w:p>
    <w:p w14:paraId="21C4062F" w14:textId="77777777" w:rsidR="00054FE6" w:rsidRPr="001D0FA1" w:rsidRDefault="006A518D" w:rsidP="00CB30CF">
      <w:pPr>
        <w:outlineLvl w:val="0"/>
        <w:rPr>
          <w:b/>
          <w:lang w:val="en-US"/>
        </w:rPr>
      </w:pPr>
      <w:r w:rsidRPr="001D0FA1">
        <w:rPr>
          <w:b/>
          <w:lang w:val="en-US"/>
        </w:rPr>
        <w:t>P.O. Box 1147</w:t>
      </w:r>
    </w:p>
    <w:p w14:paraId="75840EE7" w14:textId="77777777" w:rsidR="00054FE6" w:rsidRPr="001D0FA1" w:rsidRDefault="006A518D" w:rsidP="00CB30CF">
      <w:pPr>
        <w:outlineLvl w:val="0"/>
        <w:rPr>
          <w:b/>
          <w:lang w:val="en-US"/>
        </w:rPr>
      </w:pPr>
      <w:r w:rsidRPr="001D0FA1">
        <w:rPr>
          <w:b/>
          <w:lang w:val="en-US"/>
        </w:rPr>
        <w:t xml:space="preserve">New Albany, IN 47151-1147 </w:t>
      </w:r>
    </w:p>
    <w:p w14:paraId="1A171281" w14:textId="663CB0AC" w:rsidR="00054FE6" w:rsidRPr="001D0FA1" w:rsidRDefault="006A518D" w:rsidP="00CB30CF">
      <w:pPr>
        <w:outlineLvl w:val="0"/>
        <w:rPr>
          <w:b/>
          <w:lang w:val="sv-SE"/>
        </w:rPr>
      </w:pPr>
      <w:r w:rsidRPr="001D0FA1">
        <w:rPr>
          <w:b/>
          <w:lang w:val="sv-SE"/>
        </w:rPr>
        <w:t xml:space="preserve">USA </w:t>
      </w:r>
    </w:p>
    <w:p w14:paraId="31A3CA67" w14:textId="77777777" w:rsidR="00054FE6" w:rsidRPr="001D0FA1" w:rsidRDefault="006A518D" w:rsidP="00CB30CF">
      <w:pPr>
        <w:outlineLvl w:val="0"/>
        <w:rPr>
          <w:b/>
          <w:lang w:val="sv-SE"/>
        </w:rPr>
      </w:pPr>
      <w:r w:rsidRPr="001D0FA1">
        <w:rPr>
          <w:b/>
          <w:lang w:val="sv-SE"/>
        </w:rPr>
        <w:t>Telefon: 1-800-SAMTEC-9 (800-726-8329)</w:t>
      </w:r>
    </w:p>
    <w:p w14:paraId="7275819C" w14:textId="428081AB" w:rsidR="001836B4" w:rsidRPr="001D0FA1" w:rsidRDefault="007B306E" w:rsidP="008F43AA">
      <w:pPr>
        <w:rPr>
          <w:rStyle w:val="Hyperlink"/>
          <w:lang w:val="sv-SE"/>
        </w:rPr>
      </w:pPr>
      <w:hyperlink r:id="rId14">
        <w:r w:rsidR="0015693E" w:rsidRPr="001D0FA1">
          <w:rPr>
            <w:rStyle w:val="Hyperlink"/>
            <w:lang w:val="sv-SE"/>
          </w:rPr>
          <w:t>www.samtec.com</w:t>
        </w:r>
      </w:hyperlink>
    </w:p>
    <w:p w14:paraId="0740C871" w14:textId="77777777" w:rsidR="00EA1C21" w:rsidRPr="001D0FA1" w:rsidRDefault="00EA1C21" w:rsidP="007C3B42">
      <w:pPr>
        <w:rPr>
          <w:color w:val="000000" w:themeColor="text1"/>
          <w:lang w:val="sv-SE"/>
        </w:rPr>
      </w:pPr>
    </w:p>
    <w:sectPr w:rsidR="00EA1C21" w:rsidRPr="001D0FA1"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1B77A" w14:textId="77777777" w:rsidR="007B306E" w:rsidRDefault="007B306E" w:rsidP="00046271">
      <w:r>
        <w:separator/>
      </w:r>
    </w:p>
  </w:endnote>
  <w:endnote w:type="continuationSeparator" w:id="0">
    <w:p w14:paraId="07D21020" w14:textId="77777777" w:rsidR="007B306E" w:rsidRDefault="007B306E"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8E050" w14:textId="77777777" w:rsidR="007B306E" w:rsidRDefault="007B306E" w:rsidP="00046271">
      <w:r>
        <w:separator/>
      </w:r>
    </w:p>
  </w:footnote>
  <w:footnote w:type="continuationSeparator" w:id="0">
    <w:p w14:paraId="365BEB56" w14:textId="77777777" w:rsidR="007B306E" w:rsidRDefault="007B306E" w:rsidP="0004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584"/>
    <w:multiLevelType w:val="hybridMultilevel"/>
    <w:tmpl w:val="763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D1C69"/>
    <w:multiLevelType w:val="hybridMultilevel"/>
    <w:tmpl w:val="187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E74F74"/>
    <w:multiLevelType w:val="hybridMultilevel"/>
    <w:tmpl w:val="CE52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25"/>
  </w:num>
  <w:num w:numId="5">
    <w:abstractNumId w:val="13"/>
  </w:num>
  <w:num w:numId="6">
    <w:abstractNumId w:val="6"/>
  </w:num>
  <w:num w:numId="7">
    <w:abstractNumId w:val="4"/>
  </w:num>
  <w:num w:numId="8">
    <w:abstractNumId w:val="24"/>
  </w:num>
  <w:num w:numId="9">
    <w:abstractNumId w:val="5"/>
  </w:num>
  <w:num w:numId="10">
    <w:abstractNumId w:val="18"/>
  </w:num>
  <w:num w:numId="11">
    <w:abstractNumId w:val="16"/>
  </w:num>
  <w:num w:numId="12">
    <w:abstractNumId w:val="20"/>
  </w:num>
  <w:num w:numId="13">
    <w:abstractNumId w:val="10"/>
  </w:num>
  <w:num w:numId="14">
    <w:abstractNumId w:val="19"/>
  </w:num>
  <w:num w:numId="15">
    <w:abstractNumId w:val="0"/>
  </w:num>
  <w:num w:numId="16">
    <w:abstractNumId w:val="2"/>
  </w:num>
  <w:num w:numId="17">
    <w:abstractNumId w:val="17"/>
  </w:num>
  <w:num w:numId="18">
    <w:abstractNumId w:val="7"/>
  </w:num>
  <w:num w:numId="19">
    <w:abstractNumId w:val="11"/>
  </w:num>
  <w:num w:numId="20">
    <w:abstractNumId w:val="1"/>
  </w:num>
  <w:num w:numId="21">
    <w:abstractNumId w:val="8"/>
  </w:num>
  <w:num w:numId="22">
    <w:abstractNumId w:val="23"/>
  </w:num>
  <w:num w:numId="23">
    <w:abstractNumId w:val="22"/>
  </w:num>
  <w:num w:numId="24">
    <w:abstractNumId w:val="15"/>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yMDAwtTQ1tTAwNDVT0lEKTi0uzszPAykwrAUATXIFsiwAAAA="/>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12591"/>
    <w:rsid w:val="000200EC"/>
    <w:rsid w:val="0002382B"/>
    <w:rsid w:val="000256DC"/>
    <w:rsid w:val="00033543"/>
    <w:rsid w:val="000373AD"/>
    <w:rsid w:val="00042410"/>
    <w:rsid w:val="000452F4"/>
    <w:rsid w:val="00046271"/>
    <w:rsid w:val="00047600"/>
    <w:rsid w:val="000505BA"/>
    <w:rsid w:val="00052AB0"/>
    <w:rsid w:val="00054FE6"/>
    <w:rsid w:val="00061E37"/>
    <w:rsid w:val="00074A3F"/>
    <w:rsid w:val="00084256"/>
    <w:rsid w:val="00094A50"/>
    <w:rsid w:val="00096025"/>
    <w:rsid w:val="00097C41"/>
    <w:rsid w:val="000A1091"/>
    <w:rsid w:val="000A2857"/>
    <w:rsid w:val="000A69E8"/>
    <w:rsid w:val="000A6F2C"/>
    <w:rsid w:val="000E1D15"/>
    <w:rsid w:val="000E5271"/>
    <w:rsid w:val="000E54E2"/>
    <w:rsid w:val="00101B22"/>
    <w:rsid w:val="00102CA8"/>
    <w:rsid w:val="001134AC"/>
    <w:rsid w:val="001220D3"/>
    <w:rsid w:val="001275EE"/>
    <w:rsid w:val="001305A5"/>
    <w:rsid w:val="001308CB"/>
    <w:rsid w:val="00134B71"/>
    <w:rsid w:val="0014284B"/>
    <w:rsid w:val="0014491A"/>
    <w:rsid w:val="0014604F"/>
    <w:rsid w:val="00146EB8"/>
    <w:rsid w:val="00152E6B"/>
    <w:rsid w:val="0015693E"/>
    <w:rsid w:val="0016356A"/>
    <w:rsid w:val="00172839"/>
    <w:rsid w:val="001730B2"/>
    <w:rsid w:val="001741C7"/>
    <w:rsid w:val="00176731"/>
    <w:rsid w:val="00176A3D"/>
    <w:rsid w:val="00177BAB"/>
    <w:rsid w:val="001836B4"/>
    <w:rsid w:val="00184C7A"/>
    <w:rsid w:val="00186C70"/>
    <w:rsid w:val="00190347"/>
    <w:rsid w:val="001A108E"/>
    <w:rsid w:val="001A4053"/>
    <w:rsid w:val="001B0FC1"/>
    <w:rsid w:val="001C19F1"/>
    <w:rsid w:val="001D0FA1"/>
    <w:rsid w:val="001D1BE5"/>
    <w:rsid w:val="001D29AF"/>
    <w:rsid w:val="001D3693"/>
    <w:rsid w:val="001D52FC"/>
    <w:rsid w:val="001E5E3D"/>
    <w:rsid w:val="001F1C9E"/>
    <w:rsid w:val="001F2CBB"/>
    <w:rsid w:val="00205EBD"/>
    <w:rsid w:val="00206E6F"/>
    <w:rsid w:val="00217ACC"/>
    <w:rsid w:val="00226FA7"/>
    <w:rsid w:val="0023344F"/>
    <w:rsid w:val="00235F3A"/>
    <w:rsid w:val="00240012"/>
    <w:rsid w:val="002555D2"/>
    <w:rsid w:val="00255C37"/>
    <w:rsid w:val="0025708F"/>
    <w:rsid w:val="00264DF5"/>
    <w:rsid w:val="002674F0"/>
    <w:rsid w:val="00274F9F"/>
    <w:rsid w:val="002A3CC6"/>
    <w:rsid w:val="002B0234"/>
    <w:rsid w:val="002B0708"/>
    <w:rsid w:val="002B2CA6"/>
    <w:rsid w:val="002B31A8"/>
    <w:rsid w:val="002B5934"/>
    <w:rsid w:val="002C3512"/>
    <w:rsid w:val="002C74A4"/>
    <w:rsid w:val="002D0B6F"/>
    <w:rsid w:val="002D3D34"/>
    <w:rsid w:val="002D3E33"/>
    <w:rsid w:val="002D5174"/>
    <w:rsid w:val="002E009A"/>
    <w:rsid w:val="002E26F1"/>
    <w:rsid w:val="002F1326"/>
    <w:rsid w:val="002F4303"/>
    <w:rsid w:val="003062B1"/>
    <w:rsid w:val="00306ED4"/>
    <w:rsid w:val="00321886"/>
    <w:rsid w:val="00342155"/>
    <w:rsid w:val="00343F56"/>
    <w:rsid w:val="00355018"/>
    <w:rsid w:val="00365A30"/>
    <w:rsid w:val="0038089E"/>
    <w:rsid w:val="00390A62"/>
    <w:rsid w:val="00393971"/>
    <w:rsid w:val="003971C8"/>
    <w:rsid w:val="003A04E0"/>
    <w:rsid w:val="003A2B5C"/>
    <w:rsid w:val="003A3231"/>
    <w:rsid w:val="003B3154"/>
    <w:rsid w:val="003C242F"/>
    <w:rsid w:val="003D6A8C"/>
    <w:rsid w:val="003E095D"/>
    <w:rsid w:val="003E1DD1"/>
    <w:rsid w:val="003E38B6"/>
    <w:rsid w:val="003E7288"/>
    <w:rsid w:val="003F252B"/>
    <w:rsid w:val="003F51AD"/>
    <w:rsid w:val="003F5386"/>
    <w:rsid w:val="003F55B3"/>
    <w:rsid w:val="003F60E3"/>
    <w:rsid w:val="0040089D"/>
    <w:rsid w:val="00410B97"/>
    <w:rsid w:val="004278A0"/>
    <w:rsid w:val="0043001F"/>
    <w:rsid w:val="004305B8"/>
    <w:rsid w:val="00437B50"/>
    <w:rsid w:val="00446D12"/>
    <w:rsid w:val="00451392"/>
    <w:rsid w:val="00452031"/>
    <w:rsid w:val="00453C0C"/>
    <w:rsid w:val="00460A42"/>
    <w:rsid w:val="00460E88"/>
    <w:rsid w:val="004629BE"/>
    <w:rsid w:val="00463491"/>
    <w:rsid w:val="0046418B"/>
    <w:rsid w:val="00464B19"/>
    <w:rsid w:val="00471E69"/>
    <w:rsid w:val="004735DE"/>
    <w:rsid w:val="004754CD"/>
    <w:rsid w:val="004851B2"/>
    <w:rsid w:val="0048543B"/>
    <w:rsid w:val="004854C9"/>
    <w:rsid w:val="0048642D"/>
    <w:rsid w:val="00487AC6"/>
    <w:rsid w:val="00496183"/>
    <w:rsid w:val="004B12D5"/>
    <w:rsid w:val="004B28B3"/>
    <w:rsid w:val="004B4B73"/>
    <w:rsid w:val="004B70AC"/>
    <w:rsid w:val="004D7D2A"/>
    <w:rsid w:val="004E2B41"/>
    <w:rsid w:val="004E446B"/>
    <w:rsid w:val="004F00B9"/>
    <w:rsid w:val="004F4D91"/>
    <w:rsid w:val="004F6794"/>
    <w:rsid w:val="005042DE"/>
    <w:rsid w:val="005058FB"/>
    <w:rsid w:val="0050773C"/>
    <w:rsid w:val="00513573"/>
    <w:rsid w:val="00520BB7"/>
    <w:rsid w:val="0052146D"/>
    <w:rsid w:val="00521471"/>
    <w:rsid w:val="0053473C"/>
    <w:rsid w:val="00534BE6"/>
    <w:rsid w:val="00540120"/>
    <w:rsid w:val="00542ACA"/>
    <w:rsid w:val="0054607D"/>
    <w:rsid w:val="00550598"/>
    <w:rsid w:val="00550B0A"/>
    <w:rsid w:val="00554F9D"/>
    <w:rsid w:val="00560BC6"/>
    <w:rsid w:val="00563FC6"/>
    <w:rsid w:val="00567401"/>
    <w:rsid w:val="00576528"/>
    <w:rsid w:val="005867D6"/>
    <w:rsid w:val="00590914"/>
    <w:rsid w:val="005923FA"/>
    <w:rsid w:val="005A4774"/>
    <w:rsid w:val="005B18D1"/>
    <w:rsid w:val="005B2862"/>
    <w:rsid w:val="005B3834"/>
    <w:rsid w:val="005C3250"/>
    <w:rsid w:val="005C7296"/>
    <w:rsid w:val="005D3A4F"/>
    <w:rsid w:val="005D62A7"/>
    <w:rsid w:val="005E2DF1"/>
    <w:rsid w:val="005E53B6"/>
    <w:rsid w:val="005E5CF9"/>
    <w:rsid w:val="005F2337"/>
    <w:rsid w:val="005F6EB1"/>
    <w:rsid w:val="00602850"/>
    <w:rsid w:val="00604652"/>
    <w:rsid w:val="00612064"/>
    <w:rsid w:val="00612246"/>
    <w:rsid w:val="00620D9F"/>
    <w:rsid w:val="00622AEC"/>
    <w:rsid w:val="006257A0"/>
    <w:rsid w:val="006314EE"/>
    <w:rsid w:val="00634B79"/>
    <w:rsid w:val="0063608C"/>
    <w:rsid w:val="00636A32"/>
    <w:rsid w:val="006448E3"/>
    <w:rsid w:val="0064510A"/>
    <w:rsid w:val="00661AFD"/>
    <w:rsid w:val="00672FFE"/>
    <w:rsid w:val="00673111"/>
    <w:rsid w:val="006734F5"/>
    <w:rsid w:val="00675E2D"/>
    <w:rsid w:val="0067721B"/>
    <w:rsid w:val="00680398"/>
    <w:rsid w:val="00684CCE"/>
    <w:rsid w:val="0069339E"/>
    <w:rsid w:val="006A518D"/>
    <w:rsid w:val="006A5A31"/>
    <w:rsid w:val="006B2601"/>
    <w:rsid w:val="006D22C9"/>
    <w:rsid w:val="006D25FB"/>
    <w:rsid w:val="006D2AF9"/>
    <w:rsid w:val="006D5265"/>
    <w:rsid w:val="007054B2"/>
    <w:rsid w:val="00713252"/>
    <w:rsid w:val="0071540A"/>
    <w:rsid w:val="007165A0"/>
    <w:rsid w:val="00720DE3"/>
    <w:rsid w:val="00722338"/>
    <w:rsid w:val="00724E72"/>
    <w:rsid w:val="00745AB3"/>
    <w:rsid w:val="00746A91"/>
    <w:rsid w:val="007529B7"/>
    <w:rsid w:val="00763F1B"/>
    <w:rsid w:val="007825E3"/>
    <w:rsid w:val="00790D43"/>
    <w:rsid w:val="007937B7"/>
    <w:rsid w:val="00795B5A"/>
    <w:rsid w:val="007A5065"/>
    <w:rsid w:val="007B306E"/>
    <w:rsid w:val="007B5EEA"/>
    <w:rsid w:val="007B6838"/>
    <w:rsid w:val="007B7073"/>
    <w:rsid w:val="007C3B42"/>
    <w:rsid w:val="007C71EB"/>
    <w:rsid w:val="007D07C4"/>
    <w:rsid w:val="007D5210"/>
    <w:rsid w:val="007F25E6"/>
    <w:rsid w:val="007F4AA3"/>
    <w:rsid w:val="008007E0"/>
    <w:rsid w:val="00802F7F"/>
    <w:rsid w:val="0081024E"/>
    <w:rsid w:val="00811E36"/>
    <w:rsid w:val="008142D6"/>
    <w:rsid w:val="008362FD"/>
    <w:rsid w:val="00841CD9"/>
    <w:rsid w:val="00846793"/>
    <w:rsid w:val="008467F3"/>
    <w:rsid w:val="00854481"/>
    <w:rsid w:val="00854FB6"/>
    <w:rsid w:val="00855DF8"/>
    <w:rsid w:val="008572C3"/>
    <w:rsid w:val="00860362"/>
    <w:rsid w:val="00863AED"/>
    <w:rsid w:val="00867BBF"/>
    <w:rsid w:val="00880D96"/>
    <w:rsid w:val="008841A7"/>
    <w:rsid w:val="0089310C"/>
    <w:rsid w:val="00893236"/>
    <w:rsid w:val="008A04FF"/>
    <w:rsid w:val="008A2F6D"/>
    <w:rsid w:val="008A6C19"/>
    <w:rsid w:val="008B0399"/>
    <w:rsid w:val="008B6312"/>
    <w:rsid w:val="008C68DD"/>
    <w:rsid w:val="008D54BA"/>
    <w:rsid w:val="008E6B1A"/>
    <w:rsid w:val="008F43AA"/>
    <w:rsid w:val="009042EB"/>
    <w:rsid w:val="00904897"/>
    <w:rsid w:val="00904C90"/>
    <w:rsid w:val="00905FD4"/>
    <w:rsid w:val="00911378"/>
    <w:rsid w:val="00912398"/>
    <w:rsid w:val="009160A1"/>
    <w:rsid w:val="009249C8"/>
    <w:rsid w:val="00925681"/>
    <w:rsid w:val="00926777"/>
    <w:rsid w:val="00927277"/>
    <w:rsid w:val="00941998"/>
    <w:rsid w:val="00943B8F"/>
    <w:rsid w:val="00943CC1"/>
    <w:rsid w:val="0094785E"/>
    <w:rsid w:val="00955BB9"/>
    <w:rsid w:val="00956BA9"/>
    <w:rsid w:val="009572DD"/>
    <w:rsid w:val="00970053"/>
    <w:rsid w:val="009721F6"/>
    <w:rsid w:val="0098207F"/>
    <w:rsid w:val="00983CD1"/>
    <w:rsid w:val="00985B19"/>
    <w:rsid w:val="00996DED"/>
    <w:rsid w:val="009A2557"/>
    <w:rsid w:val="009C334C"/>
    <w:rsid w:val="009D1DA9"/>
    <w:rsid w:val="009D5505"/>
    <w:rsid w:val="009E2982"/>
    <w:rsid w:val="009F3380"/>
    <w:rsid w:val="009F7D28"/>
    <w:rsid w:val="00A0046A"/>
    <w:rsid w:val="00A07665"/>
    <w:rsid w:val="00A107AB"/>
    <w:rsid w:val="00A11821"/>
    <w:rsid w:val="00A27D66"/>
    <w:rsid w:val="00A30A05"/>
    <w:rsid w:val="00A31C04"/>
    <w:rsid w:val="00A355B8"/>
    <w:rsid w:val="00A36C94"/>
    <w:rsid w:val="00A40ADD"/>
    <w:rsid w:val="00A4478D"/>
    <w:rsid w:val="00A45938"/>
    <w:rsid w:val="00A529E7"/>
    <w:rsid w:val="00A555C1"/>
    <w:rsid w:val="00A569D0"/>
    <w:rsid w:val="00A65525"/>
    <w:rsid w:val="00A7121A"/>
    <w:rsid w:val="00A74ACD"/>
    <w:rsid w:val="00A76F7A"/>
    <w:rsid w:val="00A81057"/>
    <w:rsid w:val="00A86DC4"/>
    <w:rsid w:val="00A92070"/>
    <w:rsid w:val="00A9580C"/>
    <w:rsid w:val="00AA409C"/>
    <w:rsid w:val="00AA7DA0"/>
    <w:rsid w:val="00AB37EE"/>
    <w:rsid w:val="00AB4B95"/>
    <w:rsid w:val="00AC08AF"/>
    <w:rsid w:val="00AC3729"/>
    <w:rsid w:val="00AC6873"/>
    <w:rsid w:val="00AC7A79"/>
    <w:rsid w:val="00AC7DAD"/>
    <w:rsid w:val="00AE4DB5"/>
    <w:rsid w:val="00AF49A2"/>
    <w:rsid w:val="00B11496"/>
    <w:rsid w:val="00B122E0"/>
    <w:rsid w:val="00B17843"/>
    <w:rsid w:val="00B21089"/>
    <w:rsid w:val="00B22E45"/>
    <w:rsid w:val="00B30B9E"/>
    <w:rsid w:val="00B31FD8"/>
    <w:rsid w:val="00B334AB"/>
    <w:rsid w:val="00B35769"/>
    <w:rsid w:val="00B40396"/>
    <w:rsid w:val="00B44116"/>
    <w:rsid w:val="00B45B8D"/>
    <w:rsid w:val="00B4667F"/>
    <w:rsid w:val="00B563B4"/>
    <w:rsid w:val="00B60DEB"/>
    <w:rsid w:val="00B61BC5"/>
    <w:rsid w:val="00B6327A"/>
    <w:rsid w:val="00B6600B"/>
    <w:rsid w:val="00B6736B"/>
    <w:rsid w:val="00B91A52"/>
    <w:rsid w:val="00BA1821"/>
    <w:rsid w:val="00BA4E0A"/>
    <w:rsid w:val="00BB4009"/>
    <w:rsid w:val="00BB612A"/>
    <w:rsid w:val="00BC1573"/>
    <w:rsid w:val="00BC18A4"/>
    <w:rsid w:val="00BD7624"/>
    <w:rsid w:val="00BF0903"/>
    <w:rsid w:val="00BF1CFF"/>
    <w:rsid w:val="00BF452A"/>
    <w:rsid w:val="00C05573"/>
    <w:rsid w:val="00C07575"/>
    <w:rsid w:val="00C15ECF"/>
    <w:rsid w:val="00C24013"/>
    <w:rsid w:val="00C2637F"/>
    <w:rsid w:val="00C3195A"/>
    <w:rsid w:val="00C32433"/>
    <w:rsid w:val="00C3422E"/>
    <w:rsid w:val="00C37572"/>
    <w:rsid w:val="00C52F15"/>
    <w:rsid w:val="00C6658E"/>
    <w:rsid w:val="00C71E6F"/>
    <w:rsid w:val="00C731A3"/>
    <w:rsid w:val="00C82E7E"/>
    <w:rsid w:val="00C924EF"/>
    <w:rsid w:val="00CB0BCB"/>
    <w:rsid w:val="00CB30CF"/>
    <w:rsid w:val="00CC2122"/>
    <w:rsid w:val="00CC2C19"/>
    <w:rsid w:val="00CE1BEB"/>
    <w:rsid w:val="00CE40A0"/>
    <w:rsid w:val="00CF775A"/>
    <w:rsid w:val="00D14C62"/>
    <w:rsid w:val="00D15355"/>
    <w:rsid w:val="00D1624B"/>
    <w:rsid w:val="00D241F2"/>
    <w:rsid w:val="00D24CAF"/>
    <w:rsid w:val="00D25013"/>
    <w:rsid w:val="00D36665"/>
    <w:rsid w:val="00D379C7"/>
    <w:rsid w:val="00D37FEB"/>
    <w:rsid w:val="00D4021A"/>
    <w:rsid w:val="00D40813"/>
    <w:rsid w:val="00D44B07"/>
    <w:rsid w:val="00D462DF"/>
    <w:rsid w:val="00D55703"/>
    <w:rsid w:val="00D5796F"/>
    <w:rsid w:val="00D60859"/>
    <w:rsid w:val="00D63C45"/>
    <w:rsid w:val="00D77374"/>
    <w:rsid w:val="00D86B26"/>
    <w:rsid w:val="00D86C38"/>
    <w:rsid w:val="00D9312C"/>
    <w:rsid w:val="00DA0F7C"/>
    <w:rsid w:val="00DA4EAA"/>
    <w:rsid w:val="00DB238E"/>
    <w:rsid w:val="00DC54CB"/>
    <w:rsid w:val="00DC5CE8"/>
    <w:rsid w:val="00DC6FAD"/>
    <w:rsid w:val="00DD1BEC"/>
    <w:rsid w:val="00DE6BFE"/>
    <w:rsid w:val="00DE757D"/>
    <w:rsid w:val="00DF1C47"/>
    <w:rsid w:val="00E27FDC"/>
    <w:rsid w:val="00E30771"/>
    <w:rsid w:val="00E30F10"/>
    <w:rsid w:val="00E3266F"/>
    <w:rsid w:val="00E34B0F"/>
    <w:rsid w:val="00E427EF"/>
    <w:rsid w:val="00E5263A"/>
    <w:rsid w:val="00E55AB4"/>
    <w:rsid w:val="00E5773B"/>
    <w:rsid w:val="00E71DD0"/>
    <w:rsid w:val="00E757A0"/>
    <w:rsid w:val="00E821FD"/>
    <w:rsid w:val="00E851A3"/>
    <w:rsid w:val="00EA07F9"/>
    <w:rsid w:val="00EA1C21"/>
    <w:rsid w:val="00EA7C91"/>
    <w:rsid w:val="00EB3435"/>
    <w:rsid w:val="00EB6B8F"/>
    <w:rsid w:val="00EC156C"/>
    <w:rsid w:val="00ED008E"/>
    <w:rsid w:val="00ED0610"/>
    <w:rsid w:val="00ED1F22"/>
    <w:rsid w:val="00ED57EE"/>
    <w:rsid w:val="00EE4EC0"/>
    <w:rsid w:val="00EF10C1"/>
    <w:rsid w:val="00EF198C"/>
    <w:rsid w:val="00F005E8"/>
    <w:rsid w:val="00F0083A"/>
    <w:rsid w:val="00F008B0"/>
    <w:rsid w:val="00F0469E"/>
    <w:rsid w:val="00F20EDA"/>
    <w:rsid w:val="00F24230"/>
    <w:rsid w:val="00F25161"/>
    <w:rsid w:val="00F35A72"/>
    <w:rsid w:val="00F4218D"/>
    <w:rsid w:val="00F54543"/>
    <w:rsid w:val="00F54843"/>
    <w:rsid w:val="00F738DE"/>
    <w:rsid w:val="00F770BC"/>
    <w:rsid w:val="00F83169"/>
    <w:rsid w:val="00F861AE"/>
    <w:rsid w:val="00F86DBA"/>
    <w:rsid w:val="00F914F8"/>
    <w:rsid w:val="00FA0C5D"/>
    <w:rsid w:val="00FB3FCC"/>
    <w:rsid w:val="00FB466F"/>
    <w:rsid w:val="00FB554D"/>
    <w:rsid w:val="00FC0527"/>
    <w:rsid w:val="00FC0E21"/>
    <w:rsid w:val="00FD1787"/>
    <w:rsid w:val="00FD35E9"/>
    <w:rsid w:val="00FD7B2C"/>
    <w:rsid w:val="00FE17A8"/>
    <w:rsid w:val="00FE37D5"/>
    <w:rsid w:val="00FE728D"/>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AE32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 w:type="paragraph" w:styleId="Revision">
    <w:name w:val="Revision"/>
    <w:hidden/>
    <w:uiPriority w:val="99"/>
    <w:semiHidden/>
    <w:rsid w:val="00CB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47031259">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14542867">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641381101">
      <w:bodyDiv w:val="1"/>
      <w:marLeft w:val="0"/>
      <w:marRight w:val="0"/>
      <w:marTop w:val="0"/>
      <w:marBottom w:val="0"/>
      <w:divBdr>
        <w:top w:val="none" w:sz="0" w:space="0" w:color="auto"/>
        <w:left w:val="none" w:sz="0" w:space="0" w:color="auto"/>
        <w:bottom w:val="none" w:sz="0" w:space="0" w:color="auto"/>
        <w:right w:val="none" w:sz="0" w:space="0" w:color="auto"/>
      </w:divBdr>
    </w:div>
    <w:div w:id="1796295121">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1987398317">
      <w:bodyDiv w:val="1"/>
      <w:marLeft w:val="0"/>
      <w:marRight w:val="0"/>
      <w:marTop w:val="0"/>
      <w:marBottom w:val="0"/>
      <w:divBdr>
        <w:top w:val="none" w:sz="0" w:space="0" w:color="auto"/>
        <w:left w:val="none" w:sz="0" w:space="0" w:color="auto"/>
        <w:bottom w:val="none" w:sz="0" w:space="0" w:color="auto"/>
        <w:right w:val="none" w:sz="0" w:space="0" w:color="auto"/>
      </w:divBdr>
    </w:div>
    <w:div w:id="2033603193">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emerson@samtec.com" TargetMode="External"/><Relationship Id="rId13" Type="http://schemas.openxmlformats.org/officeDocument/2006/relationships/hyperlink" Target="http://www.samte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tec.com/solutionat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tec.com/connectors/rugged-power/power/extreme-ten60pow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mtec.com/products/et60s" TargetMode="External"/><Relationship Id="rId4" Type="http://schemas.openxmlformats.org/officeDocument/2006/relationships/settings" Target="settings.xml"/><Relationship Id="rId9" Type="http://schemas.openxmlformats.org/officeDocument/2006/relationships/hyperlink" Target="https://www.samtec.com/products/et60t" TargetMode="External"/><Relationship Id="rId14" Type="http://schemas.openxmlformats.org/officeDocument/2006/relationships/hyperlink" Target="http://www.sam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A1F8-0781-4313-8BC9-6647A21D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4204</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LEAP Agency</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Steven Priessman</cp:lastModifiedBy>
  <cp:revision>3</cp:revision>
  <cp:lastPrinted>2018-01-16T16:30:00Z</cp:lastPrinted>
  <dcterms:created xsi:type="dcterms:W3CDTF">2018-01-23T10:30:00Z</dcterms:created>
  <dcterms:modified xsi:type="dcterms:W3CDTF">2018-01-23T16:54:00Z</dcterms:modified>
</cp:coreProperties>
</file>