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B02E9" w14:textId="77777777" w:rsidR="00677815" w:rsidRDefault="00677815" w:rsidP="00677815">
      <w:pPr>
        <w:widowControl w:val="0"/>
        <w:autoSpaceDE w:val="0"/>
        <w:autoSpaceDN w:val="0"/>
        <w:adjustRightInd w:val="0"/>
        <w:rPr>
          <w:rFonts w:cs="Times"/>
          <w:b/>
          <w:bCs/>
        </w:rPr>
      </w:pPr>
      <w:r>
        <w:rPr>
          <w:b/>
          <w:bCs/>
        </w:rPr>
        <w:t>POUR DIFFUSION IMMÉDIATE</w:t>
      </w:r>
      <w:r>
        <w:rPr>
          <w:b/>
          <w:bCs/>
        </w:rPr>
        <w:tab/>
      </w:r>
      <w:r>
        <w:rPr>
          <w:b/>
          <w:bCs/>
        </w:rPr>
        <w:tab/>
      </w:r>
      <w:r>
        <w:rPr>
          <w:b/>
          <w:bCs/>
        </w:rPr>
        <w:tab/>
        <w:t>CONTACT</w:t>
      </w:r>
    </w:p>
    <w:p w14:paraId="7F3B909D" w14:textId="77777777" w:rsidR="00677815" w:rsidRPr="00BC1573" w:rsidRDefault="00677815" w:rsidP="00677815">
      <w:pPr>
        <w:widowControl w:val="0"/>
        <w:autoSpaceDE w:val="0"/>
        <w:autoSpaceDN w:val="0"/>
        <w:adjustRightInd w:val="0"/>
        <w:ind w:left="4320" w:firstLine="720"/>
        <w:rPr>
          <w:rFonts w:cs="Times New Roman"/>
          <w:color w:val="FF0000"/>
        </w:rPr>
      </w:pPr>
      <w:r>
        <w:t>Terry Emerson</w:t>
      </w:r>
    </w:p>
    <w:p w14:paraId="2B27CD6C" w14:textId="1DD4F381" w:rsidR="00677815" w:rsidRPr="00BC1573" w:rsidRDefault="00677815" w:rsidP="00677815">
      <w:pPr>
        <w:widowControl w:val="0"/>
        <w:autoSpaceDE w:val="0"/>
        <w:autoSpaceDN w:val="0"/>
        <w:adjustRightInd w:val="0"/>
        <w:ind w:left="3600" w:firstLine="720"/>
        <w:rPr>
          <w:rFonts w:cs="Times New Roman"/>
          <w:color w:val="FF0000"/>
        </w:rPr>
      </w:pPr>
      <w:r>
        <w:rPr>
          <w:color w:val="FF0000"/>
        </w:rPr>
        <w:tab/>
      </w:r>
      <w:hyperlink r:id="rId4" w:history="1">
        <w:r>
          <w:rPr>
            <w:rStyle w:val="Hyperlink"/>
          </w:rPr>
          <w:t>terry.emerson@samtec.com</w:t>
        </w:r>
      </w:hyperlink>
    </w:p>
    <w:p w14:paraId="310081C6" w14:textId="77777777" w:rsidR="00677815" w:rsidRPr="00BC1573" w:rsidRDefault="00677815" w:rsidP="00677815">
      <w:pPr>
        <w:widowControl w:val="0"/>
        <w:autoSpaceDE w:val="0"/>
        <w:autoSpaceDN w:val="0"/>
        <w:adjustRightInd w:val="0"/>
        <w:ind w:left="3600" w:firstLine="720"/>
        <w:rPr>
          <w:rFonts w:cs="Times"/>
        </w:rPr>
      </w:pPr>
      <w:r>
        <w:rPr>
          <w:color w:val="FF0000"/>
        </w:rPr>
        <w:tab/>
      </w:r>
      <w:r>
        <w:t>812-981-8304</w:t>
      </w:r>
    </w:p>
    <w:p w14:paraId="7B7F6517" w14:textId="77777777" w:rsidR="00677815" w:rsidRDefault="00677815" w:rsidP="00677815">
      <w:pPr>
        <w:rPr>
          <w:b/>
        </w:rPr>
      </w:pPr>
      <w:bookmarkStart w:id="0" w:name="_GoBack"/>
      <w:bookmarkEnd w:id="0"/>
    </w:p>
    <w:p w14:paraId="61560D3A" w14:textId="4C9CA6D9" w:rsidR="00677815" w:rsidRPr="00F54843" w:rsidRDefault="00677815" w:rsidP="00677815">
      <w:pPr>
        <w:rPr>
          <w:b/>
        </w:rPr>
      </w:pPr>
      <w:r>
        <w:rPr>
          <w:b/>
        </w:rPr>
        <w:t>[LOGO SAMTEC]</w:t>
      </w:r>
      <w:r>
        <w:rPr>
          <w:b/>
        </w:rPr>
        <w:tab/>
      </w:r>
      <w:r>
        <w:rPr>
          <w:b/>
        </w:rPr>
        <w:tab/>
      </w:r>
      <w:r>
        <w:rPr>
          <w:b/>
        </w:rPr>
        <w:tab/>
      </w:r>
      <w:r>
        <w:rPr>
          <w:b/>
        </w:rPr>
        <w:tab/>
      </w:r>
      <w:r>
        <w:rPr>
          <w:b/>
        </w:rPr>
        <w:tab/>
        <w:t>Juin 2018</w:t>
      </w:r>
    </w:p>
    <w:p w14:paraId="3D465D3C" w14:textId="77777777" w:rsidR="00677815" w:rsidRPr="00F54843" w:rsidRDefault="00677815" w:rsidP="00677815"/>
    <w:p w14:paraId="4F73A79B" w14:textId="77777777" w:rsidR="00677815" w:rsidRPr="009D5505" w:rsidRDefault="00677815" w:rsidP="00677815">
      <w:pPr>
        <w:jc w:val="center"/>
        <w:rPr>
          <w:rFonts w:cs="Arial"/>
          <w:b/>
          <w:shd w:val="clear" w:color="auto" w:fill="FFFFFF"/>
        </w:rPr>
      </w:pPr>
      <w:r>
        <w:rPr>
          <w:b/>
        </w:rPr>
        <w:t xml:space="preserve">Samtec commercialise une embase pour carte enfichable haute densité, à pas extrêmement serré, parmi les plus performantes de l'industrie </w:t>
      </w:r>
    </w:p>
    <w:p w14:paraId="22F1B2DD" w14:textId="77777777" w:rsidR="00677815" w:rsidRPr="00FF3709" w:rsidRDefault="00677815" w:rsidP="00677815">
      <w:pPr>
        <w:jc w:val="center"/>
        <w:rPr>
          <w:rFonts w:cs="Arial"/>
          <w:b/>
          <w:shd w:val="clear" w:color="auto" w:fill="FFFFFF"/>
        </w:rPr>
      </w:pPr>
    </w:p>
    <w:p w14:paraId="2D677BB0" w14:textId="3311E3AD" w:rsidR="00677815" w:rsidRDefault="008C6A3A" w:rsidP="00677815">
      <w:pPr>
        <w:jc w:val="center"/>
        <w:outlineLvl w:val="0"/>
      </w:pPr>
      <w:r>
        <w:t xml:space="preserve">L’embase pour micro-carte enfichable au pas de 0,50 mm permet de réduire l’encombrement et les coûts </w:t>
      </w:r>
    </w:p>
    <w:p w14:paraId="7600D9A3" w14:textId="77777777" w:rsidR="00677815" w:rsidRPr="004B70AC" w:rsidRDefault="00677815" w:rsidP="00677815">
      <w:pPr>
        <w:rPr>
          <w:b/>
        </w:rPr>
      </w:pPr>
    </w:p>
    <w:p w14:paraId="76DE09DA" w14:textId="2BCA1830" w:rsidR="00BC57DF" w:rsidRDefault="00677815" w:rsidP="00B769FA">
      <w:pPr>
        <w:rPr>
          <w:color w:val="000000" w:themeColor="text1"/>
        </w:rPr>
      </w:pPr>
      <w:r>
        <w:rPr>
          <w:b/>
          <w:color w:val="000000" w:themeColor="text1"/>
        </w:rPr>
        <w:t>New Albany, Indiana :</w:t>
      </w:r>
      <w:r>
        <w:rPr>
          <w:color w:val="000000" w:themeColor="text1"/>
        </w:rPr>
        <w:t xml:space="preserve"> Samtec annonce la commercialisation de la gamme MEC5, première embase pour carte enfichable au pas de 0,50 mm de l'industrie dotée d'un dispositif d’alignement. Ce produit répond à la demande de miniaturisation, de vitesse supérieure et d’optimisation des coûts.</w:t>
      </w:r>
    </w:p>
    <w:p w14:paraId="36C2ADF3" w14:textId="77777777" w:rsidR="004661F5" w:rsidRDefault="004661F5" w:rsidP="00B769FA">
      <w:pPr>
        <w:rPr>
          <w:color w:val="000000" w:themeColor="text1"/>
        </w:rPr>
      </w:pPr>
    </w:p>
    <w:p w14:paraId="162C2A63" w14:textId="0308162D" w:rsidR="004661F5" w:rsidRDefault="004661F5" w:rsidP="004661F5">
      <w:pPr>
        <w:rPr>
          <w:color w:val="000000" w:themeColor="text1"/>
        </w:rPr>
      </w:pPr>
      <w:r>
        <w:rPr>
          <w:color w:val="000000" w:themeColor="text1"/>
        </w:rPr>
        <w:t>Le dispositif d'alignement de l'embase est conçu pour décaler la carte afin d’assurer un alignement correct avec les contacts</w:t>
      </w:r>
      <w:r w:rsidR="00083326">
        <w:rPr>
          <w:color w:val="000000" w:themeColor="text1"/>
        </w:rPr>
        <w:t>.</w:t>
      </w:r>
      <w:r>
        <w:rPr>
          <w:color w:val="000000" w:themeColor="text1"/>
        </w:rPr>
        <w:t xml:space="preserve"> </w:t>
      </w:r>
      <w:r w:rsidR="00083326">
        <w:rPr>
          <w:color w:val="000000" w:themeColor="text1"/>
        </w:rPr>
        <w:t xml:space="preserve">Ce dispositif </w:t>
      </w:r>
      <w:r>
        <w:rPr>
          <w:color w:val="000000" w:themeColor="text1"/>
        </w:rPr>
        <w:t>permet d'appliquer des tolérances standard qui ne sont pas adaptées, en général, pour des connecteurs possédant un pas extrêmement serré. Ce modèle permet en outre d'optimiser les coûts de fabrication en réduisant de 30 à 50 % les coûts de circuit imprimé et assure une très grande efficacité pour les cartes standard.</w:t>
      </w:r>
    </w:p>
    <w:p w14:paraId="361B7853" w14:textId="77777777" w:rsidR="00BC57DF" w:rsidRDefault="00BC57DF" w:rsidP="00B769FA">
      <w:pPr>
        <w:rPr>
          <w:color w:val="000000" w:themeColor="text1"/>
        </w:rPr>
      </w:pPr>
    </w:p>
    <w:p w14:paraId="19AA4617" w14:textId="6FB6FE29" w:rsidR="00677815" w:rsidRDefault="00BC57DF" w:rsidP="00B769FA">
      <w:pPr>
        <w:rPr>
          <w:color w:val="000000" w:themeColor="text1"/>
        </w:rPr>
      </w:pPr>
      <w:r>
        <w:rPr>
          <w:color w:val="000000" w:themeColor="text1"/>
        </w:rPr>
        <w:t>La très haute densité de cette embase pour cartes enfichables au pas extrêmement serré de 0,50 mm permet des réductions d'encombrement exceptionnelles par comparaison aux solutions plus courantes au pas de 0,80 mm. Disponible dans les modèles vertical (MEC5-DV) et à angle droit (MEC5-RA), cette embase permet d'obtenir au total 300 entrées-sorties pour les applications les plus denses.</w:t>
      </w:r>
    </w:p>
    <w:p w14:paraId="7C2D81C0" w14:textId="77777777" w:rsidR="00A134B7" w:rsidRDefault="00A134B7" w:rsidP="00B769FA">
      <w:pPr>
        <w:rPr>
          <w:color w:val="000000" w:themeColor="text1"/>
        </w:rPr>
      </w:pPr>
    </w:p>
    <w:p w14:paraId="61865EC9" w14:textId="635E28D3" w:rsidR="009B540C" w:rsidRDefault="009B540C" w:rsidP="009B540C">
      <w:pPr>
        <w:rPr>
          <w:color w:val="000000" w:themeColor="text1"/>
        </w:rPr>
      </w:pPr>
      <w:r>
        <w:rPr>
          <w:color w:val="000000" w:themeColor="text1"/>
        </w:rPr>
        <w:t>Pour répondre à la demande de vitesse du secteur, l'embase en version verticale est conçue pour des débits de 28 Gbps NRZ/56 Gbps PAM4. Les deux versions permettent de gérer les signaux PCIe® Gen 4.</w:t>
      </w:r>
    </w:p>
    <w:p w14:paraId="76F9CDEA" w14:textId="77777777" w:rsidR="001F78DE" w:rsidRDefault="001F78DE" w:rsidP="009B540C">
      <w:pPr>
        <w:rPr>
          <w:color w:val="000000" w:themeColor="text1"/>
        </w:rPr>
      </w:pPr>
    </w:p>
    <w:p w14:paraId="685D7DC5" w14:textId="666A5A28" w:rsidR="001F78DE" w:rsidRDefault="001F78DE" w:rsidP="009B540C">
      <w:pPr>
        <w:rPr>
          <w:color w:val="000000" w:themeColor="text1"/>
        </w:rPr>
      </w:pPr>
      <w:r>
        <w:rPr>
          <w:color w:val="000000" w:themeColor="text1"/>
        </w:rPr>
        <w:t>« J'ai le grand plaisir d’annoncer la commercialisation du système MEC5 pour cartes enfichables, car cette solution vient ajouter une autre proposition à l'offre de produits pour cartes enfichables déjà très vaste de Samtec », a indiqué Terry Emerson, Responsable produits Haut débit chez Samtec, Inc. « La possibilité d'appliquer des tolérances de cartes standard, avec un pas aussi serré est aujourd'hui unique dans l'industrie. Nos clients pourront ainsi traiter des signaux à grande vitesse avec un connecteur extrêmement dense, et ce, tout en assurant un coût raisonnable pour l</w:t>
      </w:r>
      <w:r w:rsidR="00BC5AE1">
        <w:rPr>
          <w:color w:val="000000" w:themeColor="text1"/>
        </w:rPr>
        <w:t>es</w:t>
      </w:r>
      <w:r>
        <w:rPr>
          <w:color w:val="000000" w:themeColor="text1"/>
        </w:rPr>
        <w:t xml:space="preserve"> carte</w:t>
      </w:r>
      <w:r w:rsidR="00BC5AE1">
        <w:rPr>
          <w:color w:val="000000" w:themeColor="text1"/>
        </w:rPr>
        <w:t>s</w:t>
      </w:r>
      <w:r>
        <w:rPr>
          <w:color w:val="000000" w:themeColor="text1"/>
        </w:rPr>
        <w:t xml:space="preserve"> à circuit imprimé enfichée</w:t>
      </w:r>
      <w:r w:rsidR="00BC5AE1">
        <w:rPr>
          <w:color w:val="000000" w:themeColor="text1"/>
        </w:rPr>
        <w:t>s</w:t>
      </w:r>
      <w:r>
        <w:rPr>
          <w:color w:val="000000" w:themeColor="text1"/>
        </w:rPr>
        <w:t> ».</w:t>
      </w:r>
    </w:p>
    <w:p w14:paraId="78D7A965" w14:textId="77777777" w:rsidR="00A134B7" w:rsidRDefault="00A134B7" w:rsidP="00B769FA">
      <w:pPr>
        <w:rPr>
          <w:color w:val="000000" w:themeColor="text1"/>
        </w:rPr>
      </w:pPr>
    </w:p>
    <w:p w14:paraId="43696B1E" w14:textId="2003219A" w:rsidR="00037240" w:rsidRDefault="004661F5" w:rsidP="00B769FA">
      <w:pPr>
        <w:rPr>
          <w:color w:val="000000" w:themeColor="text1"/>
        </w:rPr>
      </w:pPr>
      <w:r>
        <w:rPr>
          <w:color w:val="000000" w:themeColor="text1"/>
        </w:rPr>
        <w:lastRenderedPageBreak/>
        <w:t>Capable d’assurer 1,5 A par contact, ce système accepte des cartes d'une épaisseur de 1,60 mm (0,062 pouce) et est équipé de broches d'alignement standard et d'un dispositif détrompeur sur la carte. Pour assurer une connexion parfaite à la carte, deux versions de p</w:t>
      </w:r>
      <w:r w:rsidR="00BC5AE1">
        <w:rPr>
          <w:color w:val="000000" w:themeColor="text1"/>
        </w:rPr>
        <w:t>astilles</w:t>
      </w:r>
      <w:r>
        <w:rPr>
          <w:color w:val="000000" w:themeColor="text1"/>
        </w:rPr>
        <w:t xml:space="preserve"> de soudage renforcées sont proposées (traversantes ou à montage en surface).</w:t>
      </w:r>
    </w:p>
    <w:p w14:paraId="344FAE35" w14:textId="77777777" w:rsidR="00677815" w:rsidRDefault="00677815" w:rsidP="00677815"/>
    <w:p w14:paraId="6FDAF687" w14:textId="38A53482" w:rsidR="00677815" w:rsidRPr="009721F6" w:rsidRDefault="00677815" w:rsidP="00677815">
      <w:r>
        <w:t xml:space="preserve">Pour en savoir plus, visitez la </w:t>
      </w:r>
      <w:hyperlink r:id="rId5" w:history="1">
        <w:r>
          <w:rPr>
            <w:rStyle w:val="Hyperlink"/>
          </w:rPr>
          <w:t>page web des systèmes de connecteurs pour micro-cartes enfichables de Samtec</w:t>
        </w:r>
      </w:hyperlink>
      <w:r>
        <w:t>.</w:t>
      </w:r>
    </w:p>
    <w:p w14:paraId="3E3079A0" w14:textId="77777777" w:rsidR="00677815" w:rsidRDefault="00677815" w:rsidP="00677815">
      <w:pPr>
        <w:rPr>
          <w:sz w:val="22"/>
          <w:szCs w:val="22"/>
        </w:rPr>
      </w:pPr>
    </w:p>
    <w:p w14:paraId="64B6CE35" w14:textId="77777777" w:rsidR="00677815" w:rsidRDefault="00677815" w:rsidP="00677815">
      <w:pPr>
        <w:rPr>
          <w:sz w:val="22"/>
          <w:szCs w:val="22"/>
        </w:rPr>
      </w:pPr>
    </w:p>
    <w:p w14:paraId="5411B459" w14:textId="77777777" w:rsidR="00677815" w:rsidRPr="00DD1BEC" w:rsidRDefault="00677815" w:rsidP="00677815">
      <w:pPr>
        <w:rPr>
          <w:sz w:val="20"/>
          <w:szCs w:val="20"/>
        </w:rPr>
      </w:pPr>
      <w:r>
        <w:rPr>
          <w:sz w:val="20"/>
          <w:szCs w:val="20"/>
        </w:rPr>
        <w:t>PCI-SIG</w:t>
      </w:r>
      <w:r>
        <w:rPr>
          <w:sz w:val="20"/>
          <w:szCs w:val="20"/>
          <w:vertAlign w:val="superscript"/>
        </w:rPr>
        <w:t>®</w:t>
      </w:r>
      <w:r>
        <w:rPr>
          <w:sz w:val="20"/>
          <w:szCs w:val="20"/>
        </w:rPr>
        <w:t>, PCI Express</w:t>
      </w:r>
      <w:r>
        <w:rPr>
          <w:sz w:val="20"/>
          <w:szCs w:val="20"/>
          <w:vertAlign w:val="superscript"/>
        </w:rPr>
        <w:t>®</w:t>
      </w:r>
      <w:r>
        <w:rPr>
          <w:sz w:val="20"/>
          <w:szCs w:val="20"/>
        </w:rPr>
        <w:t xml:space="preserve"> et le graphisme PCIe</w:t>
      </w:r>
      <w:r>
        <w:rPr>
          <w:sz w:val="20"/>
          <w:szCs w:val="20"/>
          <w:vertAlign w:val="superscript"/>
        </w:rPr>
        <w:t>®</w:t>
      </w:r>
      <w:r>
        <w:rPr>
          <w:sz w:val="20"/>
          <w:szCs w:val="20"/>
        </w:rPr>
        <w:t xml:space="preserve"> sont des marques et/ou des marques de service de PCI-SIG.</w:t>
      </w:r>
    </w:p>
    <w:p w14:paraId="4640A627" w14:textId="77777777" w:rsidR="00677815" w:rsidRPr="00DD1BEC" w:rsidRDefault="00677815" w:rsidP="00677815">
      <w:pPr>
        <w:rPr>
          <w:sz w:val="22"/>
          <w:szCs w:val="22"/>
        </w:rPr>
      </w:pPr>
    </w:p>
    <w:p w14:paraId="39330E9E" w14:textId="77777777" w:rsidR="00677815" w:rsidRPr="00365A30" w:rsidRDefault="00677815" w:rsidP="00677815">
      <w:pPr>
        <w:spacing w:before="100" w:beforeAutospacing="1" w:after="100" w:afterAutospacing="1"/>
        <w:outlineLvl w:val="0"/>
        <w:rPr>
          <w:b/>
        </w:rPr>
      </w:pPr>
      <w:r>
        <w:rPr>
          <w:b/>
        </w:rPr>
        <w:t xml:space="preserve">À propos de Samtec, Inc. </w:t>
      </w:r>
    </w:p>
    <w:p w14:paraId="76C4A52D" w14:textId="67BE2C7F" w:rsidR="00677815" w:rsidRPr="00684CCE" w:rsidRDefault="00677815" w:rsidP="00677815">
      <w:pPr>
        <w:spacing w:before="100" w:beforeAutospacing="1" w:after="100" w:afterAutospacing="1"/>
        <w:rPr>
          <w:rFonts w:cs="Arial"/>
          <w:shd w:val="clear" w:color="auto" w:fill="FFFFFF"/>
        </w:rPr>
      </w:pPr>
      <w:r>
        <w:t>Fondée en 1976, Samtec est une entreprise à capitaux privés qui réalise un chiffre d'affaires de713 millions de dollars, et le fabricant mondial d'une gamme étendue de solutions d'interconnexion pour l'industrie électronique</w:t>
      </w:r>
      <w:r w:rsidR="00BC5AE1">
        <w:t xml:space="preserve"> </w:t>
      </w:r>
      <w:r>
        <w:t>; notamment les dispositifs de connexion CI-carte et de conditionnement de CI, les systèmes mezzanine flexibles et haute vitesse, les composants optiques, les systèmes flexibles d'empilage de cartes, composants micro-pas et renforcés, et les ensembles de câbles. 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33 sites implantés dans 24 pays, la présence mondiale de Samtec lui permet d'assurer un service client inégalé. Pour en savoir plus, visitez le site</w:t>
      </w:r>
      <w:r>
        <w:rPr>
          <w:rStyle w:val="apple-converted-space"/>
        </w:rPr>
        <w:t> </w:t>
      </w:r>
      <w:hyperlink r:id="rId6" w:history="1">
        <w:r>
          <w:rPr>
            <w:rStyle w:val="Hyperlink"/>
          </w:rPr>
          <w:t>http://www.samtec.com</w:t>
        </w:r>
      </w:hyperlink>
      <w:r>
        <w:rPr>
          <w:shd w:val="clear" w:color="auto" w:fill="FFFFFF"/>
        </w:rPr>
        <w:t xml:space="preserve">. </w:t>
      </w:r>
    </w:p>
    <w:p w14:paraId="7101B11F" w14:textId="77777777" w:rsidR="00677815" w:rsidRPr="00083326" w:rsidRDefault="00677815" w:rsidP="00677815">
      <w:pPr>
        <w:outlineLvl w:val="0"/>
        <w:rPr>
          <w:b/>
          <w:lang w:val="en-US"/>
        </w:rPr>
      </w:pPr>
      <w:r w:rsidRPr="00083326">
        <w:rPr>
          <w:b/>
          <w:lang w:val="en-US"/>
        </w:rPr>
        <w:t>Samtec, Inc.</w:t>
      </w:r>
    </w:p>
    <w:p w14:paraId="68F4E32D" w14:textId="77777777" w:rsidR="00677815" w:rsidRPr="00083326" w:rsidRDefault="00677815" w:rsidP="00677815">
      <w:pPr>
        <w:outlineLvl w:val="0"/>
        <w:rPr>
          <w:b/>
          <w:lang w:val="en-US"/>
        </w:rPr>
      </w:pPr>
      <w:r w:rsidRPr="00083326">
        <w:rPr>
          <w:b/>
          <w:lang w:val="en-US"/>
        </w:rPr>
        <w:t>P.O. Box 1147</w:t>
      </w:r>
    </w:p>
    <w:p w14:paraId="15BC2B5D" w14:textId="77777777" w:rsidR="00677815" w:rsidRPr="00083326" w:rsidRDefault="00677815" w:rsidP="00677815">
      <w:pPr>
        <w:outlineLvl w:val="0"/>
        <w:rPr>
          <w:b/>
          <w:lang w:val="en-US"/>
        </w:rPr>
      </w:pPr>
      <w:r w:rsidRPr="00083326">
        <w:rPr>
          <w:b/>
          <w:lang w:val="en-US"/>
        </w:rPr>
        <w:t xml:space="preserve">New Albany, IN 47151-1147 </w:t>
      </w:r>
    </w:p>
    <w:p w14:paraId="6ED8457B" w14:textId="77777777" w:rsidR="00677815" w:rsidRPr="00365A30" w:rsidRDefault="00677815" w:rsidP="00677815">
      <w:pPr>
        <w:outlineLvl w:val="0"/>
        <w:rPr>
          <w:b/>
        </w:rPr>
      </w:pPr>
      <w:r>
        <w:rPr>
          <w:b/>
        </w:rPr>
        <w:t xml:space="preserve">USA </w:t>
      </w:r>
    </w:p>
    <w:p w14:paraId="79EE7073" w14:textId="77777777" w:rsidR="00677815" w:rsidRPr="00365A30" w:rsidRDefault="00677815" w:rsidP="00677815">
      <w:pPr>
        <w:outlineLvl w:val="0"/>
        <w:rPr>
          <w:b/>
        </w:rPr>
      </w:pPr>
      <w:r>
        <w:rPr>
          <w:b/>
        </w:rPr>
        <w:t>Téléphone : 1-800-SAMTEC-9 (800-726-8329)</w:t>
      </w:r>
    </w:p>
    <w:p w14:paraId="4B5CD3DA" w14:textId="77777777" w:rsidR="00677815" w:rsidRDefault="000C5E3F" w:rsidP="00677815">
      <w:pPr>
        <w:rPr>
          <w:rStyle w:val="Hyperlink"/>
        </w:rPr>
      </w:pPr>
      <w:hyperlink r:id="rId7" w:history="1">
        <w:r w:rsidR="00C34447">
          <w:rPr>
            <w:rStyle w:val="Hyperlink"/>
          </w:rPr>
          <w:t>www.samtec.com</w:t>
        </w:r>
      </w:hyperlink>
    </w:p>
    <w:p w14:paraId="43383793" w14:textId="77777777" w:rsidR="00677815" w:rsidRDefault="00677815" w:rsidP="00677815">
      <w:pPr>
        <w:rPr>
          <w:rStyle w:val="Hyperlink"/>
        </w:rPr>
      </w:pPr>
    </w:p>
    <w:p w14:paraId="5EB8D306" w14:textId="77777777" w:rsidR="00677815" w:rsidRDefault="00677815" w:rsidP="00677815">
      <w:pPr>
        <w:rPr>
          <w:b/>
        </w:rPr>
      </w:pPr>
    </w:p>
    <w:p w14:paraId="73847819" w14:textId="77777777" w:rsidR="00677815" w:rsidRDefault="00677815" w:rsidP="00677815">
      <w:pPr>
        <w:rPr>
          <w:b/>
        </w:rPr>
      </w:pPr>
    </w:p>
    <w:p w14:paraId="3C005F01" w14:textId="77777777" w:rsidR="00677815" w:rsidRDefault="00677815" w:rsidP="00677815"/>
    <w:p w14:paraId="75497005" w14:textId="77777777" w:rsidR="00611BF2" w:rsidRDefault="000C5E3F"/>
    <w:sectPr w:rsidR="00611BF2"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04125F-242C-4FC4-A76F-3061A92D6DCD}"/>
    <w:docVar w:name="dgnword-eventsink" w:val="699962904"/>
  </w:docVars>
  <w:rsids>
    <w:rsidRoot w:val="00677815"/>
    <w:rsid w:val="00037240"/>
    <w:rsid w:val="00083326"/>
    <w:rsid w:val="000C5E3F"/>
    <w:rsid w:val="00176E99"/>
    <w:rsid w:val="001F78DE"/>
    <w:rsid w:val="00203195"/>
    <w:rsid w:val="00271CFE"/>
    <w:rsid w:val="002D2DC8"/>
    <w:rsid w:val="004661F5"/>
    <w:rsid w:val="004A5D0F"/>
    <w:rsid w:val="00537C75"/>
    <w:rsid w:val="00595485"/>
    <w:rsid w:val="00677815"/>
    <w:rsid w:val="00842269"/>
    <w:rsid w:val="008C6A3A"/>
    <w:rsid w:val="008D310C"/>
    <w:rsid w:val="00922DC4"/>
    <w:rsid w:val="009965C4"/>
    <w:rsid w:val="009A5AF3"/>
    <w:rsid w:val="009B540C"/>
    <w:rsid w:val="00A021EC"/>
    <w:rsid w:val="00A072C5"/>
    <w:rsid w:val="00A134B7"/>
    <w:rsid w:val="00AB7B51"/>
    <w:rsid w:val="00B769FA"/>
    <w:rsid w:val="00BA6404"/>
    <w:rsid w:val="00BB3403"/>
    <w:rsid w:val="00BC57DF"/>
    <w:rsid w:val="00BC5AE1"/>
    <w:rsid w:val="00C34447"/>
    <w:rsid w:val="00CB5798"/>
    <w:rsid w:val="00CD0039"/>
    <w:rsid w:val="00E33DC2"/>
    <w:rsid w:val="00E451C5"/>
    <w:rsid w:val="00F76106"/>
    <w:rsid w:val="00F811F1"/>
    <w:rsid w:val="00F917B9"/>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customStyle="1" w:styleId="UnresolvedMention">
    <w:name w:val="Unresolved Mention"/>
    <w:basedOn w:val="DefaultParagraphFont"/>
    <w:uiPriority w:val="99"/>
    <w:rsid w:val="0092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https://www.samtec.com/connectors/edge-card/high-speed/micro-edge-card" TargetMode="External"/><Relationship Id="rId4" Type="http://schemas.openxmlformats.org/officeDocument/2006/relationships/hyperlink" Target="mailto:terry.emerson@samte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3</cp:revision>
  <dcterms:created xsi:type="dcterms:W3CDTF">2018-05-29T13:18:00Z</dcterms:created>
  <dcterms:modified xsi:type="dcterms:W3CDTF">2018-05-29T13:18:00Z</dcterms:modified>
</cp:coreProperties>
</file>