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hint="eastAsia"/>
          <w:b/>
          <w:bCs/>
        </w:rPr>
        <w:t>即时发布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 xml:space="preserve">                                        联系人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rPr>
          <w:rFonts w:hint="eastAsia"/>
        </w:rPr>
        <w:t>Matt Burns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>
        <w:rPr>
          <w:rFonts w:hint="eastAsia"/>
          <w:color w:val="FF0000"/>
        </w:rPr>
        <w:tab/>
      </w:r>
      <w:r>
        <w:fldChar w:fldCharType="begin"/>
      </w:r>
      <w:r>
        <w:instrText xml:space="preserve"> HYPERLINK "mailto:matthew.burns@samtec.com" </w:instrText>
      </w:r>
      <w:r>
        <w:fldChar w:fldCharType="separate"/>
      </w:r>
      <w:r>
        <w:rPr>
          <w:rStyle w:val="12"/>
          <w:rFonts w:hint="eastAsia"/>
        </w:rPr>
        <w:t>matthew.burns@samtec.com</w:t>
      </w:r>
      <w:r>
        <w:rPr>
          <w:rStyle w:val="12"/>
          <w:rFonts w:hint="eastAsia"/>
        </w:rPr>
        <w:fldChar w:fldCharType="end"/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rFonts w:hint="eastAsia"/>
          <w:color w:val="FF0000"/>
        </w:rPr>
        <w:tab/>
      </w:r>
      <w:r>
        <w:rPr>
          <w:rFonts w:hint="eastAsia"/>
        </w:rPr>
        <w:t>812-944-6733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【SAMTEC </w:t>
      </w:r>
      <w:r>
        <w:rPr>
          <w:rFonts w:ascii="宋体" w:hAnsi="宋体" w:eastAsia="宋体" w:cs="宋体"/>
          <w:b/>
        </w:rPr>
        <w:t>徽标</w:t>
      </w:r>
      <w:r>
        <w:rPr>
          <w:rFonts w:hint="eastAsia"/>
          <w:b/>
        </w:rPr>
        <w:t>】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  <w:lang w:val="en-US" w:eastAsia="zh-CN"/>
        </w:rPr>
        <w:t xml:space="preserve">             </w:t>
      </w:r>
      <w:r>
        <w:rPr>
          <w:rFonts w:hint="eastAsia"/>
          <w:b/>
        </w:rPr>
        <w:t>2018 年 8 月</w:t>
      </w:r>
    </w:p>
    <w:p/>
    <w:p>
      <w:pPr>
        <w:jc w:val="center"/>
        <w:rPr>
          <w:rFonts w:cs="Arial"/>
          <w:b/>
          <w:shd w:val="clear" w:color="auto" w:fill="FFFFFF"/>
        </w:rPr>
      </w:pPr>
      <w:r>
        <w:rPr>
          <w:rFonts w:hint="default"/>
          <w:b/>
          <w:lang w:val="en-US"/>
        </w:rPr>
        <w:t>SAMTEC</w:t>
      </w:r>
      <w:r>
        <w:rPr>
          <w:rFonts w:hint="eastAsia"/>
          <w:b/>
        </w:rPr>
        <w:t xml:space="preserve">推出了采用 </w:t>
      </w:r>
      <w:r>
        <w:rPr>
          <w:rFonts w:hint="eastAsia"/>
          <w:b/>
          <w:shd w:val="clear" w:color="auto" w:fill="FFFFFF"/>
        </w:rPr>
        <w:t>FireFly</w:t>
      </w:r>
      <w:r>
        <w:rPr>
          <w:rFonts w:hint="eastAsia"/>
          <w:b/>
          <w:shd w:val="clear" w:color="auto" w:fill="FFFFFF"/>
          <w:vertAlign w:val="superscript"/>
        </w:rPr>
        <w:t>TM</w:t>
      </w:r>
      <w:r>
        <w:rPr>
          <w:rFonts w:hint="eastAsia"/>
          <w:b/>
        </w:rPr>
        <w:t xml:space="preserve"> 光学引擎的新型 VITA 57.4 FMC+ 开发套件 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该套件</w:t>
      </w:r>
      <w:r>
        <w:rPr>
          <w:rFonts w:hint="eastAsia"/>
          <w:lang w:val="en-US" w:eastAsia="zh-CN"/>
        </w:rPr>
        <w:t>使</w:t>
      </w:r>
      <w:r>
        <w:rPr>
          <w:rFonts w:hint="eastAsia"/>
        </w:rPr>
        <w:t xml:space="preserve"> FPGA/SoC 和光纤之间</w:t>
      </w:r>
      <w:r>
        <w:rPr>
          <w:rFonts w:hint="eastAsia"/>
          <w:lang w:val="en-US" w:eastAsia="zh-CN"/>
        </w:rPr>
        <w:t>可</w:t>
      </w:r>
      <w:r>
        <w:rPr>
          <w:rFonts w:hint="eastAsia"/>
        </w:rPr>
        <w:t>实现 448 Gbps 的最大输出</w:t>
      </w:r>
    </w:p>
    <w:p>
      <w:pPr>
        <w:rPr>
          <w:b/>
        </w:rPr>
      </w:pPr>
    </w:p>
    <w:p>
      <w:pPr>
        <w:ind w:firstLine="482" w:firstLineChars="200"/>
        <w:jc w:val="both"/>
        <w:rPr>
          <w:rFonts w:cs="Arial"/>
          <w:shd w:val="clear" w:color="auto" w:fill="FFFFFF"/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印第安纳州，新奥尔巴尼：</w:t>
      </w:r>
      <w:r>
        <w:rPr>
          <w:rFonts w:hint="eastAsia"/>
        </w:rPr>
        <w:t>作为一家拥有 7.13 亿美元资产的私有企业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自豪地宣布推出两款全新的 </w:t>
      </w:r>
      <w:r>
        <w:rPr>
          <w:rFonts w:hint="eastAsia"/>
          <w:shd w:val="clear" w:color="auto" w:fill="FFFFFF"/>
        </w:rPr>
        <w:t>FireFly</w:t>
      </w:r>
      <w:r>
        <w:rPr>
          <w:rFonts w:hint="eastAsia"/>
          <w:shd w:val="clear" w:color="auto" w:fill="FFFFFF"/>
          <w:vertAlign w:val="superscript"/>
        </w:rPr>
        <w:t>TM</w:t>
      </w:r>
      <w:r>
        <w:rPr>
          <w:rFonts w:hint="eastAsia"/>
          <w:shd w:val="clear" w:color="auto" w:fill="FFFFFF"/>
        </w:rPr>
        <w:t> FMC+ 开发套件。第一款套件支持每通道 25 Gbps 的数据速率，第二款套件支持每通道 28 Gbps 的数据速率。这些新解决方案为</w:t>
      </w: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>的 FireFly</w:t>
      </w:r>
      <w:r>
        <w:rPr>
          <w:rFonts w:hint="eastAsia"/>
          <w:shd w:val="clear" w:color="auto" w:fill="FFFFFF"/>
          <w:vertAlign w:val="superscript"/>
        </w:rPr>
        <w:t>TM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光学引擎提供了易于使用的评估和开发平台。 </w:t>
      </w:r>
    </w:p>
    <w:p>
      <w:pPr>
        <w:jc w:val="both"/>
        <w:rPr>
          <w:rFonts w:cs="Arial"/>
          <w:shd w:val="clear" w:color="auto" w:fill="FFFFFF"/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lang w:val="en-US"/>
        </w:rPr>
        <w:t>SAMTEC</w:t>
      </w:r>
      <w:r>
        <w:rPr>
          <w:rFonts w:hint="eastAsia"/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25/28 Gbps </w:t>
      </w:r>
      <w:bookmarkStart w:id="0" w:name="_Hlk520900044"/>
      <w:r>
        <w:rPr>
          <w:rFonts w:hint="eastAsia"/>
          <w:shd w:val="clear" w:color="auto" w:fill="FFFFFF"/>
        </w:rPr>
        <w:t>FireFly</w:t>
      </w:r>
      <w:r>
        <w:rPr>
          <w:rFonts w:hint="eastAsia"/>
          <w:shd w:val="clear" w:color="auto" w:fill="FFFFFF"/>
          <w:vertAlign w:val="superscript"/>
        </w:rPr>
        <w:t>TM</w:t>
      </w:r>
      <w:bookmarkEnd w:id="0"/>
      <w:r>
        <w:rPr>
          <w:rFonts w:hint="eastAsia"/>
          <w:shd w:val="clear" w:color="auto" w:fill="FFFFFF"/>
        </w:rPr>
        <w:t> FMC+ 组件</w:t>
      </w:r>
      <w:r>
        <w:rPr>
          <w:rFonts w:hint="eastAsia"/>
        </w:rPr>
        <w:t>可在 FPGA/SoC 和行业标准多模光缆之间提供多达 16 通道的至高为 400/448 Gbps 全双工带宽。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新套件支持以下协议，包括以太网、</w:t>
      </w:r>
      <w:r>
        <w:rPr>
          <w:rFonts w:hint="eastAsia"/>
          <w:shd w:val="clear" w:color="auto" w:fill="FFFFFF"/>
        </w:rPr>
        <w:t>InfiniBand</w:t>
      </w:r>
      <w:r>
        <w:rPr>
          <w:rFonts w:hint="eastAsia"/>
          <w:shd w:val="clear" w:color="auto" w:fill="FFFFFF"/>
          <w:vertAlign w:val="superscript"/>
        </w:rPr>
        <w:t>TM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、光纤通道和 极光，通常用于视频、军事-航空、嵌入式计算、仪器仪表、高性能计算 (HPC) 和数据中心。</w:t>
      </w:r>
    </w:p>
    <w:p>
      <w:pPr>
        <w:jc w:val="both"/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Hlk488142372"/>
      <w:r>
        <w:rPr>
          <w:rFonts w:hint="eastAsia"/>
        </w:rPr>
        <w:fldChar w:fldCharType="begin"/>
      </w:r>
      <w:r>
        <w:instrText xml:space="preserve"> HYPERLINK "https://www.samtec.com/optics/optical-cable/mid-board/firefly"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  <w:shd w:val="clear" w:color="auto" w:fill="FFFFFF"/>
        </w:rPr>
        <w:t>FireFly</w:t>
      </w:r>
      <w:r>
        <w:rPr>
          <w:rStyle w:val="12"/>
          <w:rFonts w:hint="eastAsia"/>
          <w:shd w:val="clear" w:color="auto" w:fill="FFFFFF"/>
          <w:vertAlign w:val="superscript"/>
        </w:rPr>
        <w:t>TM</w:t>
      </w:r>
      <w:r>
        <w:rPr>
          <w:rStyle w:val="12"/>
          <w:rFonts w:hint="eastAsia"/>
        </w:rPr>
        <w:t xml:space="preserve"> 光学引擎</w:t>
      </w:r>
      <w:r>
        <w:rPr>
          <w:rStyle w:val="12"/>
          <w:rFonts w:hint="eastAsia"/>
        </w:rPr>
        <w:fldChar w:fldCharType="end"/>
      </w:r>
      <w:bookmarkEnd w:id="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新套件支持在发送路径中进行电光转换，并在接收路径中进行光电转换。其基于成熟的多模光学器件，支持长达 100 米的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缆。 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作为符合 VITA 57.4 标准的 FMC+ 组件，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的新解决方案可用于支持 VITA 57.4 接口的任何 FPGA/SoC 开发平台上的光数据通信。两款套件均可以并行运行从单个通道到所有 16 个通道的系统数据或误码率测试 (BERT)。参阅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相关</w:t>
      </w:r>
      <w:bookmarkStart w:id="2" w:name="_GoBack"/>
      <w:bookmarkEnd w:id="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技术文档和 FPGA 参考设计，可帮助实现快速启动。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lang w:val="en-US"/>
        </w:rPr>
        <w:t>SAMTEC</w:t>
      </w:r>
      <w:r>
        <w:rPr>
          <w:rFonts w:hint="eastAsia"/>
        </w:rPr>
        <w:t>公司产品营销经理 Matt Burns 如是说道：“评估 100 Gbps/112 Gbps 光学引擎技术的门槛很高，</w:t>
      </w:r>
      <w:r>
        <w:rPr>
          <w:rFonts w:hint="default"/>
          <w:lang w:val="en-US"/>
        </w:rPr>
        <w:t>SAMTEC</w:t>
      </w:r>
      <w:r>
        <w:rPr>
          <w:rFonts w:hint="eastAsia"/>
        </w:rPr>
        <w:t xml:space="preserve">新的 </w:t>
      </w:r>
      <w:r>
        <w:rPr>
          <w:rFonts w:hint="eastAsia"/>
          <w:shd w:val="clear" w:color="auto" w:fill="FFFFFF"/>
        </w:rPr>
        <w:t>FireFly</w:t>
      </w:r>
      <w:r>
        <w:rPr>
          <w:rFonts w:hint="eastAsia"/>
          <w:shd w:val="clear" w:color="auto" w:fill="FFFFFF"/>
          <w:vertAlign w:val="superscript"/>
        </w:rPr>
        <w:t>TM</w:t>
      </w:r>
      <w:r>
        <w:rPr>
          <w:rFonts w:hint="eastAsia"/>
          <w:shd w:val="clear" w:color="auto" w:fill="FFFFFF"/>
        </w:rPr>
        <w:t> FMC+ 开发套件通过使用新兴的 FMC+ 接口（典型的高性能 FPGA/SoC 开发工具）简化了 FireFly</w:t>
      </w:r>
      <w:r>
        <w:rPr>
          <w:rFonts w:hint="eastAsia"/>
          <w:shd w:val="clear" w:color="auto" w:fill="FFFFFF"/>
          <w:vertAlign w:val="superscript"/>
        </w:rPr>
        <w:t>TM</w:t>
      </w:r>
      <w:r>
        <w:rPr>
          <w:rFonts w:hint="eastAsia"/>
          <w:shd w:val="clear" w:color="auto" w:fill="FFFFFF"/>
        </w:rPr>
        <w:t xml:space="preserve"> 技术的评估和开发。”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有关 25 Gbps 和 28 Gbps </w:t>
      </w:r>
      <w:r>
        <w:rPr>
          <w:rFonts w:hint="eastAsia"/>
          <w:shd w:val="clear" w:color="auto" w:fill="FFFFFF"/>
        </w:rPr>
        <w:t>FireFly</w:t>
      </w:r>
      <w:r>
        <w:rPr>
          <w:rFonts w:hint="eastAsia"/>
          <w:shd w:val="clear" w:color="auto" w:fill="FFFFFF"/>
          <w:vertAlign w:val="superscript"/>
        </w:rPr>
        <w:t>TM</w:t>
      </w:r>
      <w:r>
        <w:rPr>
          <w:rFonts w:hint="eastAsia"/>
        </w:rPr>
        <w:t xml:space="preserve"> FMC+ 开发套件的更多信息，请下载</w:t>
      </w:r>
      <w:r>
        <w:fldChar w:fldCharType="begin"/>
      </w:r>
      <w:r>
        <w:instrText xml:space="preserve"> HYPERLINK "http://suddendocs.samtec.com/notesandwhitepapers/samtec-firefly-fmcp-kit-product-brief.pdf" </w:instrText>
      </w:r>
      <w:r>
        <w:fldChar w:fldCharType="separate"/>
      </w:r>
      <w:r>
        <w:rPr>
          <w:rStyle w:val="12"/>
          <w:rFonts w:hint="eastAsia"/>
        </w:rPr>
        <w:t>《产品简述》</w:t>
      </w:r>
      <w:r>
        <w:rPr>
          <w:rStyle w:val="12"/>
        </w:rPr>
        <w:fldChar w:fldCharType="end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或访问 </w:t>
      </w:r>
      <w:r>
        <w:fldChar w:fldCharType="begin"/>
      </w:r>
      <w:r>
        <w:instrText xml:space="preserve"> HYPERLINK "http://www.samtec.com/25g-28g-firefly-fmcp" </w:instrText>
      </w:r>
      <w:r>
        <w:fldChar w:fldCharType="separate"/>
      </w:r>
      <w:r>
        <w:rPr>
          <w:rStyle w:val="12"/>
          <w:rFonts w:hint="eastAsia"/>
        </w:rPr>
        <w:t>www.samtec.com/25g-28g-firefly-fmcp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>。</w:t>
      </w:r>
      <w:r>
        <w:rPr>
          <w:rFonts w:hint="eastAsia"/>
          <w:shd w:val="clear" w:color="auto" w:fill="FFFFFF"/>
        </w:rPr>
        <w:t>如需获得</w:t>
      </w: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 xml:space="preserve">应用程序专家的直接技术支持，请通过 </w:t>
      </w:r>
      <w:r>
        <w:fldChar w:fldCharType="begin"/>
      </w:r>
      <w:r>
        <w:instrText xml:space="preserve"> HYPERLINK "mailto:KitsAndBoards@samtec.com" </w:instrText>
      </w:r>
      <w:r>
        <w:fldChar w:fldCharType="separate"/>
      </w:r>
      <w:r>
        <w:rPr>
          <w:rStyle w:val="12"/>
          <w:rFonts w:hint="eastAsia"/>
          <w:shd w:val="clear" w:color="auto" w:fill="FFFFFF"/>
        </w:rPr>
        <w:t>KitsAndBoards@samtec.com</w:t>
      </w:r>
      <w:r>
        <w:rPr>
          <w:rStyle w:val="12"/>
          <w:rFonts w:hint="eastAsia"/>
          <w:shd w:val="clear" w:color="auto" w:fill="FFFFFF"/>
        </w:rPr>
        <w:fldChar w:fldCharType="end"/>
      </w:r>
      <w:r>
        <w:rPr>
          <w:rFonts w:hint="eastAsia"/>
          <w:shd w:val="clear" w:color="auto" w:fill="FFFFFF"/>
        </w:rPr>
        <w:t xml:space="preserve"> 联系。   </w:t>
      </w:r>
    </w:p>
    <w:p>
      <w:pPr>
        <w:rPr>
          <w:b/>
        </w:rPr>
      </w:pPr>
      <w:r>
        <w:rPr>
          <w:rFonts w:hint="eastAsia"/>
        </w:rPr>
        <w:br w:type="page"/>
      </w:r>
    </w:p>
    <w:p>
      <w:pPr>
        <w:rPr>
          <w:b/>
        </w:rPr>
      </w:pPr>
      <w:r>
        <w:rPr>
          <w:rFonts w:hint="eastAsia"/>
          <w:b/>
        </w:rPr>
        <w:t>关于</w:t>
      </w:r>
      <w:r>
        <w:rPr>
          <w:rFonts w:hint="default"/>
          <w:b/>
          <w:lang w:val="en-US"/>
        </w:rPr>
        <w:t>SAMTEC</w:t>
      </w:r>
      <w:r>
        <w:rPr>
          <w:rFonts w:hint="eastAsia"/>
          <w:b/>
        </w:rPr>
        <w:t xml:space="preserve">公司 </w:t>
      </w:r>
    </w:p>
    <w:p>
      <w:pPr>
        <w:ind w:firstLine="480" w:firstLineChars="200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成立于 1976 年，是一家拥有 7.13 亿美元资产的</w:t>
      </w:r>
      <w:r>
        <w:rPr>
          <w:rFonts w:hint="eastAsia" w:ascii="Cambria" w:hAnsi="Cambria"/>
          <w:shd w:val="clear" w:color="auto" w:fill="FFFFFF"/>
        </w:rPr>
        <w:t>全球性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私有企业。其作为全球电子互连解决方案制造商，提供如下解决方案：高速板对板、高速电缆、中板和面板光学器件、微电子科技、</w:t>
      </w:r>
      <w:r>
        <w:rPr>
          <w:rFonts w:hint="eastAsia" w:ascii="Cambria" w:hAnsi="Cambria"/>
          <w:shd w:val="clear" w:color="auto" w:fill="FFFFFF"/>
        </w:rPr>
        <w:t>柔性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堆叠和微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/坚固</w:t>
      </w:r>
      <w:r>
        <w:rPr>
          <w:rFonts w:hint="eastAsia" w:ascii="Cambria" w:hAnsi="Cambria"/>
          <w:shd w:val="clear" w:color="auto" w:fill="FFFFFF"/>
        </w:rPr>
        <w:t>耐用</w:t>
      </w:r>
      <w:r>
        <w:rPr>
          <w:rFonts w:hint="eastAsia" w:ascii="Cambria" w:hAnsi="Cambria"/>
          <w:shd w:val="clear" w:color="auto" w:fill="FFFFFF"/>
          <w:lang w:val="en-US" w:eastAsia="zh-CN"/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组件和电缆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在全球 18 个国家拥有 33 个服务点，致力于为客户提供一流的服务。</w:t>
      </w:r>
      <w:r>
        <w:rPr>
          <w:rFonts w:hint="eastAsia"/>
        </w:rPr>
        <w:t>欲了解更多信息，请访问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fldChar w:fldCharType="begin"/>
      </w:r>
      <w:r>
        <w:instrText xml:space="preserve"> HYPERLINK "http://www.samtec.com/" </w:instrText>
      </w:r>
      <w:r>
        <w:fldChar w:fldCharType="separate"/>
      </w:r>
      <w:r>
        <w:rPr>
          <w:rStyle w:val="12"/>
          <w:rFonts w:hint="eastAsia"/>
        </w:rPr>
        <w:t>http://www.samtec.com</w:t>
      </w:r>
      <w:r>
        <w:rPr>
          <w:rStyle w:val="12"/>
          <w:rFonts w:hint="eastAsia"/>
        </w:rPr>
        <w:fldChar w:fldCharType="end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。 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rPr>
          <w:b/>
        </w:rPr>
      </w:pPr>
      <w:r>
        <w:rPr>
          <w:rFonts w:hint="default"/>
          <w:b/>
          <w:lang w:val="en-US"/>
        </w:rPr>
        <w:t>SAMTEC</w:t>
      </w:r>
      <w:r>
        <w:rPr>
          <w:rFonts w:hint="eastAsia"/>
          <w:b/>
        </w:rPr>
        <w:t>公司</w:t>
      </w:r>
    </w:p>
    <w:p>
      <w:pPr>
        <w:rPr>
          <w:b/>
        </w:rPr>
      </w:pPr>
      <w:r>
        <w:rPr>
          <w:rFonts w:hint="eastAsia"/>
          <w:b/>
        </w:rPr>
        <w:t>P.O.Box 1147</w:t>
      </w:r>
    </w:p>
    <w:p>
      <w:pPr>
        <w:rPr>
          <w:b/>
        </w:rPr>
      </w:pPr>
      <w:r>
        <w:rPr>
          <w:rFonts w:hint="eastAsia"/>
          <w:b/>
        </w:rPr>
        <w:t xml:space="preserve">New Albany, IN 47151-1147 </w:t>
      </w:r>
    </w:p>
    <w:p>
      <w:pPr>
        <w:rPr>
          <w:b/>
        </w:rPr>
      </w:pPr>
      <w:r>
        <w:rPr>
          <w:rFonts w:hint="eastAsia"/>
          <w:b/>
        </w:rPr>
        <w:t xml:space="preserve">USA </w:t>
      </w:r>
    </w:p>
    <w:p>
      <w:pPr>
        <w:rPr>
          <w:b/>
        </w:rPr>
      </w:pPr>
      <w:r>
        <w:rPr>
          <w:rFonts w:hint="eastAsia"/>
          <w:b/>
        </w:rPr>
        <w:t>电话：1-800-SAMTEC-9 (800-726-8329)</w:t>
      </w:r>
    </w:p>
    <w:p>
      <w:r>
        <w:rPr>
          <w:rFonts w:hint="eastAsia"/>
          <w:b/>
        </w:rPr>
        <w:t>www.samtec.com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0C88"/>
    <w:rsid w:val="000016F6"/>
    <w:rsid w:val="00002006"/>
    <w:rsid w:val="00012591"/>
    <w:rsid w:val="00023733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2623"/>
    <w:rsid w:val="00096025"/>
    <w:rsid w:val="00097C41"/>
    <w:rsid w:val="000A2857"/>
    <w:rsid w:val="000A69E8"/>
    <w:rsid w:val="000C2D45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4DF5"/>
    <w:rsid w:val="002674F0"/>
    <w:rsid w:val="002A3CC6"/>
    <w:rsid w:val="002B2CA6"/>
    <w:rsid w:val="002B31A8"/>
    <w:rsid w:val="002B5934"/>
    <w:rsid w:val="002C3512"/>
    <w:rsid w:val="002C3E7A"/>
    <w:rsid w:val="002D0B6F"/>
    <w:rsid w:val="002D3D34"/>
    <w:rsid w:val="002D5174"/>
    <w:rsid w:val="002E26F1"/>
    <w:rsid w:val="002F4303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67D6"/>
    <w:rsid w:val="00590914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B2601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45AB3"/>
    <w:rsid w:val="00763F1B"/>
    <w:rsid w:val="00790D43"/>
    <w:rsid w:val="007B7073"/>
    <w:rsid w:val="007C50E0"/>
    <w:rsid w:val="007C6CFF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80D96"/>
    <w:rsid w:val="008A04FF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55BB9"/>
    <w:rsid w:val="00956BA9"/>
    <w:rsid w:val="00970053"/>
    <w:rsid w:val="00985B19"/>
    <w:rsid w:val="00996A38"/>
    <w:rsid w:val="009A2557"/>
    <w:rsid w:val="009C334C"/>
    <w:rsid w:val="009E2982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F1CFF"/>
    <w:rsid w:val="00BF452A"/>
    <w:rsid w:val="00C15ECF"/>
    <w:rsid w:val="00C3195A"/>
    <w:rsid w:val="00C32433"/>
    <w:rsid w:val="00C3422E"/>
    <w:rsid w:val="00C37572"/>
    <w:rsid w:val="00C45993"/>
    <w:rsid w:val="00C52F15"/>
    <w:rsid w:val="00C6406C"/>
    <w:rsid w:val="00C6658E"/>
    <w:rsid w:val="00C924EF"/>
    <w:rsid w:val="00CB0BCB"/>
    <w:rsid w:val="00CC2122"/>
    <w:rsid w:val="00CC2C19"/>
    <w:rsid w:val="00CF775A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3C45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268A"/>
    <w:rsid w:val="00E34B0F"/>
    <w:rsid w:val="00E5263A"/>
    <w:rsid w:val="00E55AB4"/>
    <w:rsid w:val="00E5773B"/>
    <w:rsid w:val="00E71DD0"/>
    <w:rsid w:val="00E821FD"/>
    <w:rsid w:val="00E851A3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770BC"/>
    <w:rsid w:val="00F861AE"/>
    <w:rsid w:val="00F86DBA"/>
    <w:rsid w:val="00FA0C5D"/>
    <w:rsid w:val="00FB3FCC"/>
    <w:rsid w:val="00FB554D"/>
    <w:rsid w:val="00FC0E21"/>
    <w:rsid w:val="00FD1787"/>
    <w:rsid w:val="00FD35E9"/>
    <w:rsid w:val="00FE17A8"/>
    <w:rsid w:val="00FF3709"/>
    <w:rsid w:val="1C0946A6"/>
    <w:rsid w:val="23B30BF6"/>
    <w:rsid w:val="3AC123FC"/>
    <w:rsid w:val="48AB103C"/>
    <w:rsid w:val="56575AE3"/>
    <w:rsid w:val="56F608F1"/>
    <w:rsid w:val="578C709D"/>
    <w:rsid w:val="63F55064"/>
    <w:rsid w:val="649000F6"/>
    <w:rsid w:val="6D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宋体" w:cs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semiHidden/>
    <w:unhideWhenUsed/>
    <w:uiPriority w:val="99"/>
    <w:rPr>
      <w:b/>
      <w:bCs/>
    </w:rPr>
  </w:style>
  <w:style w:type="paragraph" w:styleId="5">
    <w:name w:val="annotation text"/>
    <w:basedOn w:val="1"/>
    <w:link w:val="26"/>
    <w:semiHidden/>
    <w:unhideWhenUsed/>
    <w:uiPriority w:val="99"/>
    <w:rPr>
      <w:sz w:val="20"/>
      <w:szCs w:val="20"/>
    </w:rPr>
  </w:style>
  <w:style w:type="paragraph" w:styleId="6">
    <w:name w:val="Balloon Text"/>
    <w:basedOn w:val="1"/>
    <w:link w:val="21"/>
    <w:semiHidden/>
    <w:unhideWhenUsed/>
    <w:uiPriority w:val="99"/>
    <w:rPr>
      <w:rFonts w:ascii="Segoe UI" w:hAnsi="Segoe UI" w:eastAsia="宋体" w:cs="Segoe UI"/>
      <w:sz w:val="18"/>
      <w:szCs w:val="18"/>
    </w:rPr>
  </w:style>
  <w:style w:type="paragraph" w:styleId="7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4"/>
    <w:unhideWhenUsed/>
    <w:uiPriority w:val="99"/>
    <w:pPr>
      <w:tabs>
        <w:tab w:val="center" w:pos="4680"/>
        <w:tab w:val="right" w:pos="9360"/>
      </w:tabs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uiPriority w:val="99"/>
    <w:rPr>
      <w:sz w:val="16"/>
      <w:szCs w:val="16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spacing w:after="360"/>
      <w:ind w:left="720"/>
      <w:contextualSpacing/>
      <w:jc w:val="both"/>
    </w:pPr>
    <w:rPr>
      <w:rFonts w:ascii="Arial" w:hAnsi="Arial" w:eastAsia="宋体" w:cs="Times New Roman"/>
      <w:sz w:val="20"/>
      <w:szCs w:val="22"/>
      <w:lang w:val="en-GB"/>
    </w:rPr>
  </w:style>
  <w:style w:type="paragraph" w:customStyle="1" w:styleId="17">
    <w:name w:val="lead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8">
    <w:name w:val="page-top-space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9">
    <w:name w:val="medium-7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customStyle="1" w:styleId="20">
    <w:name w:val="apple-converted-space"/>
    <w:basedOn w:val="9"/>
    <w:uiPriority w:val="0"/>
  </w:style>
  <w:style w:type="character" w:customStyle="1" w:styleId="21">
    <w:name w:val="批注框文本 Char"/>
    <w:basedOn w:val="9"/>
    <w:link w:val="6"/>
    <w:semiHidden/>
    <w:uiPriority w:val="99"/>
    <w:rPr>
      <w:rFonts w:ascii="Segoe UI" w:hAnsi="Segoe UI" w:eastAsia="宋体" w:cs="Segoe UI"/>
      <w:sz w:val="18"/>
      <w:szCs w:val="18"/>
    </w:rPr>
  </w:style>
  <w:style w:type="character" w:customStyle="1" w:styleId="22">
    <w:name w:val="标题 1 Char"/>
    <w:basedOn w:val="9"/>
    <w:link w:val="2"/>
    <w:uiPriority w:val="9"/>
    <w:rPr>
      <w:rFonts w:ascii="Times New Roman" w:hAnsi="Times New Roman" w:eastAsia="宋体" w:cs="Times New Roman"/>
      <w:b/>
      <w:bCs/>
      <w:kern w:val="36"/>
      <w:sz w:val="48"/>
      <w:szCs w:val="48"/>
    </w:rPr>
  </w:style>
  <w:style w:type="character" w:customStyle="1" w:styleId="23">
    <w:name w:val="标题 4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页眉 Char"/>
    <w:basedOn w:val="9"/>
    <w:link w:val="8"/>
    <w:uiPriority w:val="99"/>
  </w:style>
  <w:style w:type="character" w:customStyle="1" w:styleId="25">
    <w:name w:val="页脚 Char"/>
    <w:basedOn w:val="9"/>
    <w:link w:val="7"/>
    <w:uiPriority w:val="99"/>
  </w:style>
  <w:style w:type="character" w:customStyle="1" w:styleId="26">
    <w:name w:val="批注文字 Char"/>
    <w:basedOn w:val="9"/>
    <w:link w:val="5"/>
    <w:semiHidden/>
    <w:uiPriority w:val="99"/>
    <w:rPr>
      <w:sz w:val="20"/>
      <w:szCs w:val="20"/>
    </w:rPr>
  </w:style>
  <w:style w:type="character" w:customStyle="1" w:styleId="27">
    <w:name w:val="批注主题 Char"/>
    <w:basedOn w:val="26"/>
    <w:link w:val="4"/>
    <w:semiHidden/>
    <w:uiPriority w:val="99"/>
    <w:rPr>
      <w:b/>
      <w:bCs/>
      <w:sz w:val="20"/>
      <w:szCs w:val="20"/>
    </w:rPr>
  </w:style>
  <w:style w:type="character" w:customStyle="1" w:styleId="28">
    <w:name w:val="Unresolved Mention1"/>
    <w:basedOn w:val="9"/>
    <w:semiHidden/>
    <w:unhideWhenUsed/>
    <w:uiPriority w:val="99"/>
    <w:rPr>
      <w:color w:val="808080"/>
      <w:shd w:val="clear" w:color="auto" w:fill="E6E6E6"/>
    </w:rPr>
  </w:style>
  <w:style w:type="character" w:customStyle="1" w:styleId="29">
    <w:name w:val="Unresolved Mention"/>
    <w:basedOn w:val="9"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1DB8B-F376-4553-9D9D-1F7C129EE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LEAP Agency</Company>
  <Pages>1</Pages>
  <Words>262</Words>
  <Characters>1494</Characters>
  <Lines>12</Lines>
  <Paragraphs>3</Paragraphs>
  <TotalTime>7</TotalTime>
  <ScaleCrop>false</ScaleCrop>
  <LinksUpToDate>false</LinksUpToDate>
  <CharactersWithSpaces>1753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2018-08-01T18:59:00Z</dcterms:created>
  <dc:creator>Jignesh Shah</dc:creator>
  <cp:lastModifiedBy>Joseph</cp:lastModifiedBy>
  <cp:lastPrinted>2016-09-23T16:32:00Z</cp:lastPrinted>
  <dcterms:modified xsi:type="dcterms:W3CDTF">2018-08-06T08:15:06Z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