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rFonts w:hint="eastAsia"/>
          <w:b/>
          <w:bCs/>
          <w:lang w:eastAsia="zh-CN"/>
        </w:rPr>
        <w:t>立即</w:t>
      </w:r>
      <w:r>
        <w:rPr>
          <w:rFonts w:hint="eastAsia"/>
          <w:b/>
          <w:bCs/>
        </w:rPr>
        <w:t>发布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  <w:lang w:val="en-US" w:eastAsia="zh-CN"/>
        </w:rPr>
        <w:t xml:space="preserve">                                         </w:t>
      </w:r>
      <w:r>
        <w:rPr>
          <w:rFonts w:hint="eastAsia"/>
          <w:b/>
          <w:bCs/>
        </w:rPr>
        <w:t>联系人</w:t>
      </w:r>
    </w:p>
    <w:p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>
        <w:rPr>
          <w:rFonts w:hint="eastAsia"/>
        </w:rPr>
        <w:t>David Givens</w:t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>
        <w:rPr>
          <w:rFonts w:hint="eastAsia"/>
          <w:color w:val="FF0000"/>
        </w:rPr>
        <w:tab/>
      </w:r>
      <w:r>
        <w:fldChar w:fldCharType="begin"/>
      </w:r>
      <w:r>
        <w:instrText xml:space="preserve"> HYPERLINK "mailto:david.givens@samtec.com" </w:instrText>
      </w:r>
      <w:r>
        <w:fldChar w:fldCharType="separate"/>
      </w:r>
      <w:r>
        <w:rPr>
          <w:rStyle w:val="12"/>
          <w:rFonts w:hint="eastAsia"/>
        </w:rPr>
        <w:t>david.givens@samtec.com</w:t>
      </w:r>
      <w:r>
        <w:rPr>
          <w:rStyle w:val="12"/>
          <w:rFonts w:hint="eastAsia"/>
        </w:rPr>
        <w:fldChar w:fldCharType="end"/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>
        <w:rPr>
          <w:rFonts w:hint="eastAsia"/>
          <w:color w:val="FF0000"/>
        </w:rPr>
        <w:tab/>
      </w:r>
      <w:r>
        <w:rPr>
          <w:rFonts w:hint="eastAsia"/>
        </w:rPr>
        <w:t>717-818-5759</w:t>
      </w:r>
    </w:p>
    <w:p>
      <w:pPr>
        <w:rPr>
          <w:b/>
          <w:lang w:val="es-CO"/>
        </w:rPr>
      </w:pPr>
    </w:p>
    <w:p>
      <w:pPr>
        <w:rPr>
          <w:b/>
        </w:rPr>
      </w:pPr>
      <w:r>
        <w:rPr>
          <w:rFonts w:hint="eastAsia"/>
          <w:b/>
        </w:rPr>
        <w:t xml:space="preserve">【SAMTEC </w:t>
      </w:r>
      <w:r>
        <w:rPr>
          <w:rFonts w:ascii="宋体" w:hAnsi="宋体" w:eastAsia="宋体" w:cs="宋体"/>
          <w:b/>
        </w:rPr>
        <w:t>徽标</w:t>
      </w:r>
      <w:r>
        <w:rPr>
          <w:rFonts w:hint="eastAsia"/>
          <w:b/>
        </w:rPr>
        <w:t>】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2018 年 8 月</w:t>
      </w:r>
    </w:p>
    <w:p>
      <w:pPr>
        <w:rPr>
          <w:lang w:val="es-CO"/>
        </w:rPr>
      </w:pPr>
    </w:p>
    <w:p>
      <w:pPr>
        <w:jc w:val="center"/>
        <w:rPr>
          <w:rFonts w:hint="eastAsia"/>
          <w:b/>
          <w:lang w:eastAsia="zh-CN"/>
        </w:rPr>
      </w:pPr>
    </w:p>
    <w:p>
      <w:pPr>
        <w:jc w:val="center"/>
        <w:rPr>
          <w:rFonts w:cs="Arial"/>
          <w:b/>
          <w:shd w:val="clear" w:color="auto" w:fill="FFFFFF"/>
        </w:rPr>
      </w:pPr>
      <w:r>
        <w:rPr>
          <w:rFonts w:hint="eastAsia"/>
          <w:b/>
          <w:lang w:eastAsia="zh-CN"/>
        </w:rPr>
        <w:t>SAMTEC</w:t>
      </w:r>
      <w:r>
        <w:rPr>
          <w:rFonts w:hint="eastAsia"/>
          <w:b/>
        </w:rPr>
        <w:t>宣布完成新的 VITA 57.4 FMC + 标准</w:t>
      </w:r>
    </w:p>
    <w:p>
      <w:pPr>
        <w:jc w:val="center"/>
        <w:rPr>
          <w:rFonts w:cs="Arial"/>
          <w:b/>
          <w:shd w:val="clear" w:color="auto" w:fill="FFFFFF"/>
        </w:rPr>
      </w:pPr>
    </w:p>
    <w:p>
      <w:pPr>
        <w:jc w:val="center"/>
      </w:pPr>
      <w:r>
        <w:rPr>
          <w:rFonts w:hint="eastAsia"/>
        </w:rPr>
        <w:t>久经考验的 SEARAY™ 连接器在恶劣环境下也能提供可靠的 SI 性能</w:t>
      </w:r>
      <w:r>
        <w:rPr>
          <w:rFonts w:hint="eastAsia"/>
        </w:rPr>
        <w:cr/>
      </w:r>
      <w:r>
        <w:rPr>
          <w:rFonts w:hint="eastAsia"/>
        </w:rPr>
        <w:br w:type="textWrapping"/>
      </w:r>
    </w:p>
    <w:p>
      <w:pPr>
        <w:ind w:firstLine="482" w:firstLineChars="200"/>
        <w:jc w:val="both"/>
        <w:rPr>
          <w:rFonts w:cs="Arial"/>
          <w:shd w:val="clear" w:color="auto" w:fill="FFFFFF"/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印第安纳州，新奥尔巴尼：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作为 ANSI/VITA 的一员，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SAMTEC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是一家持有 7.13 亿美元资产的全球私营电子互连器件制造商。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SAMTEC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自豪地支持推出新 ANSI/VITA 57.4-2018 FPGA 夹层卡及标准。VITA 57.4（也称为 FMC +）通过新增两个可实现更高数据速率的新连接器，在ANSI/VITA 57.1 FMC 中定义的I/O功能基础上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实现了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进一步扩展。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FMC + 模块提供通常由 COTS 制造商用于FPGA开发解决方案中的标准化夹层卡。由于其小形状因数和用户定义的引脚等特性，FMC + 在保持模块化的同时，向最终用户提供极具吸引力的功能。除了能与 FMC 夹层卡向后兼容外，FMC + 还扩展了计算性能和带宽，所有这些在 FMC 的形状因数范围内适用。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SAMTEC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 SEARAY™ 垂直连接器采用规定了 8.5 mm 和 10 mm 堆高的 VITA 57.4 标准。SEARAY™ 的速度高达28 Gbps，提供低插/拔力，还具有焊接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除电荷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功能。此外，FMC + 标准还对可选扩展连接器（高串行引脚连接器扩展或 HSPCe）的使用作出了规定。使用此扩展连接器可增加 80 个引脚位置，以 4 x 20 阵列排列。这将全双工通道上的数据速率从 28 Gbps 提高至 32 Gbps。扩展的 SEARAY™ 连接器因其在 VITA 57.1 FMC 标准中的卓越性能以及其高速能力和坚固耐用的设计而中选。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80" w:firstLineChars="200"/>
        <w:jc w:val="both"/>
      </w:pPr>
      <w:r>
        <w:rPr>
          <w:rFonts w:hint="eastAsia"/>
          <w:lang w:eastAsia="zh-CN"/>
        </w:rPr>
        <w:t>SAMTEC</w:t>
      </w:r>
      <w:r>
        <w:rPr>
          <w:rFonts w:hint="eastAsia"/>
        </w:rPr>
        <w:t>标准总监 David Givens</w:t>
      </w:r>
      <w:r>
        <w:rPr>
          <w:rFonts w:hint="eastAsia"/>
          <w:lang w:val="en-US" w:eastAsia="zh-CN"/>
        </w:rPr>
        <w:t>指出</w:t>
      </w:r>
      <w:r>
        <w:rPr>
          <w:rFonts w:hint="eastAsia"/>
        </w:rPr>
        <w:t>：“</w:t>
      </w:r>
      <w:r>
        <w:rPr>
          <w:rFonts w:hint="eastAsia"/>
          <w:lang w:eastAsia="zh-CN"/>
        </w:rPr>
        <w:t>SAMTEC</w:t>
      </w:r>
      <w:r>
        <w:rPr>
          <w:rFonts w:hint="eastAsia"/>
        </w:rPr>
        <w:t>很自豪能够提供下一代 FMC + 连接器解决方案。定制化 SEARAY™ 具有完美的可靠性。它为 FPGA 开发人员和 VITA 硬件用户提供了广泛的灵活性，同时保持了理想的信号完整性。”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有关</w:t>
      </w:r>
      <w:r>
        <w:rPr>
          <w:rFonts w:hint="eastAsia"/>
          <w:lang w:eastAsia="zh-CN"/>
        </w:rPr>
        <w:t>SAMTEC</w:t>
      </w:r>
      <w:r>
        <w:rPr>
          <w:rFonts w:hint="eastAsia"/>
        </w:rPr>
        <w:t xml:space="preserve">全系列 VITA 57.4 FMC+ 或 SEARAY™ 夹层解决方案的更多信息，请发送电子邮件至 </w:t>
      </w:r>
      <w:r>
        <w:fldChar w:fldCharType="begin"/>
      </w:r>
      <w:r>
        <w:instrText xml:space="preserve"> HYPERLINK "mailto:FMC@samtec.com" </w:instrText>
      </w:r>
      <w:r>
        <w:fldChar w:fldCharType="separate"/>
      </w:r>
      <w:r>
        <w:rPr>
          <w:rStyle w:val="12"/>
          <w:rFonts w:hint="eastAsia"/>
        </w:rPr>
        <w:t>FMC@samtec.com</w:t>
      </w:r>
      <w:r>
        <w:rPr>
          <w:rStyle w:val="12"/>
          <w:rFonts w:hint="eastAsia"/>
        </w:rPr>
        <w:fldChar w:fldCharType="end"/>
      </w:r>
      <w:r>
        <w:rPr>
          <w:rFonts w:hint="eastAsia"/>
        </w:rPr>
        <w:t xml:space="preserve"> 联系我们的技术专家，或访问 </w:t>
      </w:r>
      <w:r>
        <w:fldChar w:fldCharType="begin"/>
      </w:r>
      <w:r>
        <w:instrText xml:space="preserve"> HYPERLINK "https://www.samtec.com/standards/vita/fmc-plus" </w:instrText>
      </w:r>
      <w:r>
        <w:fldChar w:fldCharType="separate"/>
      </w:r>
      <w:r>
        <w:rPr>
          <w:rStyle w:val="12"/>
          <w:rFonts w:hint="eastAsia"/>
        </w:rPr>
        <w:t>https://www.samtec.com/standards/vita/fmc-plus</w:t>
      </w:r>
      <w:r>
        <w:rPr>
          <w:rStyle w:val="12"/>
          <w:rFonts w:hint="eastAsia"/>
        </w:rPr>
        <w:fldChar w:fldCharType="end"/>
      </w:r>
      <w:r>
        <w:rPr>
          <w:rFonts w:hint="eastAsia"/>
        </w:rPr>
        <w:t>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PCI-SIG®、PCI Express® 和 the PCIe® 设计标志是 PCI-SIG 的注册商标和／或服务标志。</w:t>
      </w:r>
    </w:p>
    <w:p>
      <w:pPr>
        <w:rPr>
          <w:b/>
        </w:rPr>
      </w:pPr>
    </w:p>
    <w:p>
      <w:pPr>
        <w:rPr>
          <w:rFonts w:hint="eastAsia"/>
          <w:b/>
        </w:rPr>
      </w:pPr>
    </w:p>
    <w:p>
      <w:bookmarkStart w:id="0" w:name="_GoBack"/>
      <w:bookmarkEnd w:id="0"/>
      <w:r>
        <w:rPr>
          <w:rFonts w:hint="eastAsia"/>
          <w:b/>
        </w:rPr>
        <w:t>关于</w:t>
      </w:r>
      <w:r>
        <w:rPr>
          <w:rFonts w:hint="eastAsia"/>
          <w:b/>
          <w:lang w:eastAsia="zh-CN"/>
        </w:rPr>
        <w:t>SAMTEC</w:t>
      </w:r>
      <w:r>
        <w:rPr>
          <w:rFonts w:hint="eastAsia"/>
          <w:b/>
        </w:rPr>
        <w:t xml:space="preserve">公司 </w:t>
      </w:r>
    </w:p>
    <w:p>
      <w:pPr>
        <w:spacing w:before="100" w:beforeAutospacing="1" w:after="100" w:afterAutospacing="1"/>
        <w:ind w:firstLine="480" w:firstLineChars="200"/>
        <w:jc w:val="both"/>
        <w:rPr>
          <w:rFonts w:hint="eastAsia"/>
          <w:shd w:val="clear" w:color="auto" w:fill="FFFFFF"/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成立于 1976 年，是一家拥有 7.13 亿美元资产的</w:t>
      </w:r>
      <w:r>
        <w:rPr>
          <w:rFonts w:hint="eastAsia" w:ascii="Cambria" w:hAnsi="Cambria"/>
          <w:shd w:val="clear" w:color="auto" w:fill="FFFFFF"/>
        </w:rPr>
        <w:t>全球性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私有企业。其作为全球电子互连解决方案制造商，提供如下解决方案：</w:t>
      </w:r>
      <w:r>
        <w:rPr>
          <w:rFonts w:hint="eastAsia"/>
          <w:shd w:val="clear" w:color="auto" w:fill="FFFFFF"/>
        </w:rPr>
        <w:t>IC 对板和 IC 封装、高速板对板、高速电缆、中板和面板光学器件、</w:t>
      </w:r>
      <w:r>
        <w:rPr>
          <w:rFonts w:hint="eastAsia"/>
          <w:shd w:val="clear" w:color="auto" w:fill="FFFFFF"/>
          <w:lang w:val="en-US" w:eastAsia="zh-CN"/>
        </w:rPr>
        <w:t>柔性</w:t>
      </w:r>
      <w:r>
        <w:rPr>
          <w:rFonts w:hint="eastAsia"/>
          <w:shd w:val="clear" w:color="auto" w:fill="FFFFFF"/>
        </w:rPr>
        <w:t>堆叠和微/坚固组件和电缆。</w:t>
      </w:r>
      <w:r>
        <w:rPr>
          <w:rFonts w:hint="eastAsia"/>
          <w:shd w:val="clear" w:color="auto" w:fill="FFFFFF"/>
          <w:lang w:eastAsia="zh-CN"/>
        </w:rPr>
        <w:t>SAMTEC</w:t>
      </w:r>
      <w:r>
        <w:rPr>
          <w:rFonts w:hint="eastAsia"/>
          <w:shd w:val="clear" w:color="auto" w:fill="FFFFFF"/>
        </w:rPr>
        <w:t>技术中心致力于开发和推进技术、策略和产品，以优化系统的性能和成本，包括从裸芯片到 100 米外的接口以及其间的所有互连点。</w:t>
      </w:r>
      <w:r>
        <w:rPr>
          <w:rFonts w:hint="eastAsia"/>
          <w:shd w:val="clear" w:color="auto" w:fill="FFFFFF"/>
          <w:lang w:eastAsia="zh-CN"/>
        </w:rPr>
        <w:t>SAMTEC</w:t>
      </w:r>
      <w:r>
        <w:rPr>
          <w:rFonts w:hint="eastAsia"/>
          <w:shd w:val="clear" w:color="auto" w:fill="FFFFFF"/>
        </w:rPr>
        <w:t>在全球 18 个国家设有 33 家分支机构，遍布全球的</w:t>
      </w:r>
      <w:r>
        <w:rPr>
          <w:rFonts w:hint="eastAsia"/>
          <w:shd w:val="clear" w:color="auto" w:fill="FFFFFF"/>
          <w:lang w:val="en-US" w:eastAsia="zh-CN"/>
        </w:rPr>
        <w:t>服务点</w:t>
      </w:r>
      <w:r>
        <w:rPr>
          <w:rFonts w:hint="eastAsia"/>
          <w:shd w:val="clear" w:color="auto" w:fill="FFFFFF"/>
        </w:rPr>
        <w:t>使其可以为客户提供最优的服务。欲了解更多信息，请访问</w:t>
      </w:r>
      <w:r>
        <w:fldChar w:fldCharType="begin"/>
      </w:r>
      <w:r>
        <w:instrText xml:space="preserve"> HYPERLINK "http://www.samtec.com/" </w:instrText>
      </w:r>
      <w:r>
        <w:fldChar w:fldCharType="separate"/>
      </w:r>
      <w:r>
        <w:rPr>
          <w:rStyle w:val="12"/>
          <w:rFonts w:hint="eastAsia"/>
          <w:shd w:val="clear" w:color="auto" w:fill="FFFFFF"/>
        </w:rPr>
        <w:t>http://www.samtec.com</w:t>
      </w:r>
      <w:r>
        <w:rPr>
          <w:rStyle w:val="12"/>
          <w:rFonts w:hint="eastAsia"/>
          <w:shd w:val="clear" w:color="auto" w:fill="FFFFFF"/>
        </w:rPr>
        <w:fldChar w:fldCharType="end"/>
      </w:r>
      <w:r>
        <w:rPr>
          <w:rFonts w:hint="eastAsia"/>
          <w:shd w:val="clear" w:color="auto" w:fill="FFFFFF"/>
        </w:rPr>
        <w:t>。</w:t>
      </w:r>
    </w:p>
    <w:p>
      <w:pPr>
        <w:spacing w:before="100" w:beforeAutospacing="1" w:after="100" w:afterAutospacing="1"/>
        <w:ind w:firstLine="480" w:firstLineChars="200"/>
        <w:jc w:val="both"/>
        <w:rPr>
          <w:rFonts w:hint="eastAsia"/>
          <w:shd w:val="clear" w:color="auto" w:fill="FFFFFF"/>
        </w:rPr>
      </w:pPr>
    </w:p>
    <w:p>
      <w:pPr>
        <w:outlineLvl w:val="0"/>
        <w:rPr>
          <w:b/>
        </w:rPr>
      </w:pPr>
      <w:r>
        <w:rPr>
          <w:rFonts w:hint="eastAsia"/>
          <w:b/>
          <w:lang w:eastAsia="zh-CN"/>
        </w:rPr>
        <w:t>SAMTEC</w:t>
      </w:r>
      <w:r>
        <w:rPr>
          <w:rFonts w:hint="eastAsia"/>
          <w:b/>
        </w:rPr>
        <w:t>公司</w:t>
      </w:r>
    </w:p>
    <w:p>
      <w:pPr>
        <w:outlineLvl w:val="0"/>
        <w:rPr>
          <w:b/>
        </w:rPr>
      </w:pPr>
      <w:r>
        <w:rPr>
          <w:rFonts w:hint="eastAsia"/>
          <w:b/>
        </w:rPr>
        <w:t>P.O.Box 1147</w:t>
      </w:r>
    </w:p>
    <w:p>
      <w:pPr>
        <w:outlineLvl w:val="0"/>
        <w:rPr>
          <w:b/>
        </w:rPr>
      </w:pPr>
      <w:r>
        <w:rPr>
          <w:rFonts w:hint="eastAsia"/>
          <w:b/>
        </w:rPr>
        <w:t xml:space="preserve">New Albany, IN 47151-1147 </w:t>
      </w:r>
    </w:p>
    <w:p>
      <w:pPr>
        <w:outlineLvl w:val="0"/>
        <w:rPr>
          <w:b/>
        </w:rPr>
      </w:pPr>
      <w:r>
        <w:rPr>
          <w:rFonts w:hint="eastAsia"/>
          <w:b/>
        </w:rPr>
        <w:t>USA</w:t>
      </w:r>
    </w:p>
    <w:p>
      <w:pPr>
        <w:outlineLvl w:val="0"/>
        <w:rPr>
          <w:b/>
        </w:rPr>
      </w:pPr>
      <w:r>
        <w:rPr>
          <w:rFonts w:hint="eastAsia"/>
          <w:b/>
        </w:rPr>
        <w:t>电话：1-800-SAMTEC-9 (800-726-8329)</w:t>
      </w:r>
    </w:p>
    <w:p>
      <w:pPr>
        <w:rPr>
          <w:rStyle w:val="12"/>
        </w:rPr>
      </w:pPr>
      <w:r>
        <w:fldChar w:fldCharType="begin"/>
      </w:r>
      <w:r>
        <w:instrText xml:space="preserve"> HYPERLINK "http://www.samtec.com/" </w:instrText>
      </w:r>
      <w:r>
        <w:fldChar w:fldCharType="separate"/>
      </w:r>
      <w:r>
        <w:rPr>
          <w:rStyle w:val="12"/>
          <w:rFonts w:hint="eastAsia"/>
        </w:rPr>
        <w:t>www.samtec.com</w:t>
      </w:r>
      <w:r>
        <w:rPr>
          <w:rStyle w:val="12"/>
          <w:rFonts w:hint="eastAsia"/>
        </w:rPr>
        <w:fldChar w:fldCharType="end"/>
      </w:r>
    </w:p>
    <w:p>
      <w:pPr>
        <w:rPr>
          <w:rStyle w:val="12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LS0NDU0NTEzMjFT0lEKTi0uzszPAykwrgUAmTk1BywAAAA="/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B65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4A3F"/>
    <w:rsid w:val="00084256"/>
    <w:rsid w:val="00086DDD"/>
    <w:rsid w:val="00094A50"/>
    <w:rsid w:val="00096025"/>
    <w:rsid w:val="00097C41"/>
    <w:rsid w:val="000A1091"/>
    <w:rsid w:val="000A2857"/>
    <w:rsid w:val="000A69E8"/>
    <w:rsid w:val="000A6F2C"/>
    <w:rsid w:val="000E1D15"/>
    <w:rsid w:val="000E5271"/>
    <w:rsid w:val="000E54E2"/>
    <w:rsid w:val="000E7D25"/>
    <w:rsid w:val="00101B22"/>
    <w:rsid w:val="00102CA8"/>
    <w:rsid w:val="001134AC"/>
    <w:rsid w:val="001220D3"/>
    <w:rsid w:val="00125106"/>
    <w:rsid w:val="001275EE"/>
    <w:rsid w:val="001305A5"/>
    <w:rsid w:val="001308CB"/>
    <w:rsid w:val="00134B71"/>
    <w:rsid w:val="0014284B"/>
    <w:rsid w:val="0014491A"/>
    <w:rsid w:val="0014604F"/>
    <w:rsid w:val="00146EB8"/>
    <w:rsid w:val="001473A6"/>
    <w:rsid w:val="00152E6B"/>
    <w:rsid w:val="00154055"/>
    <w:rsid w:val="0016356A"/>
    <w:rsid w:val="00172839"/>
    <w:rsid w:val="001730B2"/>
    <w:rsid w:val="001741C7"/>
    <w:rsid w:val="00176731"/>
    <w:rsid w:val="00176A3D"/>
    <w:rsid w:val="00177BAB"/>
    <w:rsid w:val="001836B4"/>
    <w:rsid w:val="0018491C"/>
    <w:rsid w:val="00184C7A"/>
    <w:rsid w:val="00186C70"/>
    <w:rsid w:val="00190347"/>
    <w:rsid w:val="001A108E"/>
    <w:rsid w:val="001A4053"/>
    <w:rsid w:val="001B0FC1"/>
    <w:rsid w:val="001C19F1"/>
    <w:rsid w:val="001C6AB7"/>
    <w:rsid w:val="001D1BE5"/>
    <w:rsid w:val="001D29AF"/>
    <w:rsid w:val="001D52FC"/>
    <w:rsid w:val="001E0821"/>
    <w:rsid w:val="001E5E3D"/>
    <w:rsid w:val="001F1C9E"/>
    <w:rsid w:val="001F2CBB"/>
    <w:rsid w:val="00205EBD"/>
    <w:rsid w:val="00206E6F"/>
    <w:rsid w:val="00217ACC"/>
    <w:rsid w:val="00226FA7"/>
    <w:rsid w:val="0023344F"/>
    <w:rsid w:val="00235F3A"/>
    <w:rsid w:val="00240012"/>
    <w:rsid w:val="002555D2"/>
    <w:rsid w:val="00255C37"/>
    <w:rsid w:val="0025708F"/>
    <w:rsid w:val="00264DF5"/>
    <w:rsid w:val="002674F0"/>
    <w:rsid w:val="00274F9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D7984"/>
    <w:rsid w:val="002E009A"/>
    <w:rsid w:val="002E26F1"/>
    <w:rsid w:val="002F1326"/>
    <w:rsid w:val="002F4303"/>
    <w:rsid w:val="00306ED4"/>
    <w:rsid w:val="00321886"/>
    <w:rsid w:val="003235D8"/>
    <w:rsid w:val="00342155"/>
    <w:rsid w:val="00343F56"/>
    <w:rsid w:val="00355018"/>
    <w:rsid w:val="003559E4"/>
    <w:rsid w:val="00365A30"/>
    <w:rsid w:val="00365C16"/>
    <w:rsid w:val="0038089E"/>
    <w:rsid w:val="00390A62"/>
    <w:rsid w:val="00393971"/>
    <w:rsid w:val="003971C8"/>
    <w:rsid w:val="003A04E0"/>
    <w:rsid w:val="003A2B5C"/>
    <w:rsid w:val="003A3231"/>
    <w:rsid w:val="003B3154"/>
    <w:rsid w:val="003C242F"/>
    <w:rsid w:val="003C3E9F"/>
    <w:rsid w:val="003D6A8C"/>
    <w:rsid w:val="003E095D"/>
    <w:rsid w:val="003E1DD1"/>
    <w:rsid w:val="003E38B6"/>
    <w:rsid w:val="003E7288"/>
    <w:rsid w:val="003F252B"/>
    <w:rsid w:val="003F45FE"/>
    <w:rsid w:val="003F51AD"/>
    <w:rsid w:val="003F5386"/>
    <w:rsid w:val="003F55B3"/>
    <w:rsid w:val="003F60E3"/>
    <w:rsid w:val="0040089D"/>
    <w:rsid w:val="00410B97"/>
    <w:rsid w:val="00415086"/>
    <w:rsid w:val="004278A0"/>
    <w:rsid w:val="0043001F"/>
    <w:rsid w:val="004305B8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71E69"/>
    <w:rsid w:val="004735DE"/>
    <w:rsid w:val="004754C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D7D2A"/>
    <w:rsid w:val="004E2B41"/>
    <w:rsid w:val="004E446B"/>
    <w:rsid w:val="004F00B9"/>
    <w:rsid w:val="004F0D25"/>
    <w:rsid w:val="004F4D91"/>
    <w:rsid w:val="004F6794"/>
    <w:rsid w:val="005042DE"/>
    <w:rsid w:val="005058FB"/>
    <w:rsid w:val="0050773C"/>
    <w:rsid w:val="00513573"/>
    <w:rsid w:val="00520BB7"/>
    <w:rsid w:val="0052146D"/>
    <w:rsid w:val="00521471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6528"/>
    <w:rsid w:val="005867D6"/>
    <w:rsid w:val="00590914"/>
    <w:rsid w:val="005923FA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2759F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339E"/>
    <w:rsid w:val="006A518D"/>
    <w:rsid w:val="006A5A31"/>
    <w:rsid w:val="006B2601"/>
    <w:rsid w:val="006D22C9"/>
    <w:rsid w:val="006D25FB"/>
    <w:rsid w:val="006D2AF9"/>
    <w:rsid w:val="006D5265"/>
    <w:rsid w:val="006E6E3D"/>
    <w:rsid w:val="007054B2"/>
    <w:rsid w:val="00713252"/>
    <w:rsid w:val="0071540A"/>
    <w:rsid w:val="007165A0"/>
    <w:rsid w:val="00720DE3"/>
    <w:rsid w:val="00722338"/>
    <w:rsid w:val="00722A2F"/>
    <w:rsid w:val="00724E72"/>
    <w:rsid w:val="00745AB3"/>
    <w:rsid w:val="00746A91"/>
    <w:rsid w:val="007529B7"/>
    <w:rsid w:val="00763F1B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5210"/>
    <w:rsid w:val="007F25E6"/>
    <w:rsid w:val="007F4AA3"/>
    <w:rsid w:val="008007E0"/>
    <w:rsid w:val="00802F7F"/>
    <w:rsid w:val="0081024E"/>
    <w:rsid w:val="00811E36"/>
    <w:rsid w:val="008142D6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7BBF"/>
    <w:rsid w:val="00880D96"/>
    <w:rsid w:val="008841A7"/>
    <w:rsid w:val="0089310C"/>
    <w:rsid w:val="00893236"/>
    <w:rsid w:val="008A04FF"/>
    <w:rsid w:val="008A2F6D"/>
    <w:rsid w:val="008A6C19"/>
    <w:rsid w:val="008B0399"/>
    <w:rsid w:val="008B6312"/>
    <w:rsid w:val="008C68DD"/>
    <w:rsid w:val="008D54BA"/>
    <w:rsid w:val="008E6B1A"/>
    <w:rsid w:val="008F43AA"/>
    <w:rsid w:val="009042EB"/>
    <w:rsid w:val="00904897"/>
    <w:rsid w:val="00904C90"/>
    <w:rsid w:val="00905FD4"/>
    <w:rsid w:val="00911378"/>
    <w:rsid w:val="00912398"/>
    <w:rsid w:val="009160A1"/>
    <w:rsid w:val="009249C8"/>
    <w:rsid w:val="00925681"/>
    <w:rsid w:val="00926777"/>
    <w:rsid w:val="00927277"/>
    <w:rsid w:val="00941998"/>
    <w:rsid w:val="00943B8F"/>
    <w:rsid w:val="00943CC1"/>
    <w:rsid w:val="0094785E"/>
    <w:rsid w:val="00950642"/>
    <w:rsid w:val="00955BB9"/>
    <w:rsid w:val="00956BA9"/>
    <w:rsid w:val="009572DD"/>
    <w:rsid w:val="00970053"/>
    <w:rsid w:val="009721F6"/>
    <w:rsid w:val="0098207F"/>
    <w:rsid w:val="00983CD1"/>
    <w:rsid w:val="00985B19"/>
    <w:rsid w:val="00996DED"/>
    <w:rsid w:val="009A2557"/>
    <w:rsid w:val="009C334C"/>
    <w:rsid w:val="009D1DA9"/>
    <w:rsid w:val="009D5505"/>
    <w:rsid w:val="009E2982"/>
    <w:rsid w:val="009F3380"/>
    <w:rsid w:val="009F7D28"/>
    <w:rsid w:val="00A0046A"/>
    <w:rsid w:val="00A07665"/>
    <w:rsid w:val="00A107AB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52EE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E0584"/>
    <w:rsid w:val="00AE4DB5"/>
    <w:rsid w:val="00AF49A2"/>
    <w:rsid w:val="00B11496"/>
    <w:rsid w:val="00B11902"/>
    <w:rsid w:val="00B122E0"/>
    <w:rsid w:val="00B17843"/>
    <w:rsid w:val="00B21089"/>
    <w:rsid w:val="00B22E45"/>
    <w:rsid w:val="00B30B9E"/>
    <w:rsid w:val="00B31FD8"/>
    <w:rsid w:val="00B334AB"/>
    <w:rsid w:val="00B35769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91A52"/>
    <w:rsid w:val="00BA1821"/>
    <w:rsid w:val="00BA4E0A"/>
    <w:rsid w:val="00BB4009"/>
    <w:rsid w:val="00BB612A"/>
    <w:rsid w:val="00BC1573"/>
    <w:rsid w:val="00BC18A4"/>
    <w:rsid w:val="00BD3714"/>
    <w:rsid w:val="00BD7624"/>
    <w:rsid w:val="00BD7B84"/>
    <w:rsid w:val="00BF0903"/>
    <w:rsid w:val="00BF1CFF"/>
    <w:rsid w:val="00BF452A"/>
    <w:rsid w:val="00BF659A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2F15"/>
    <w:rsid w:val="00C6658E"/>
    <w:rsid w:val="00C71E6F"/>
    <w:rsid w:val="00C731A3"/>
    <w:rsid w:val="00C82E7E"/>
    <w:rsid w:val="00C924EF"/>
    <w:rsid w:val="00CB0BCB"/>
    <w:rsid w:val="00CB30CF"/>
    <w:rsid w:val="00CC2122"/>
    <w:rsid w:val="00CC2C19"/>
    <w:rsid w:val="00CC7FAC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7374"/>
    <w:rsid w:val="00D86B26"/>
    <w:rsid w:val="00D86C38"/>
    <w:rsid w:val="00D9312C"/>
    <w:rsid w:val="00DA0F7C"/>
    <w:rsid w:val="00DA4EAA"/>
    <w:rsid w:val="00DC54CB"/>
    <w:rsid w:val="00DC5CE8"/>
    <w:rsid w:val="00DC6FAD"/>
    <w:rsid w:val="00DD1BEC"/>
    <w:rsid w:val="00DE6BFE"/>
    <w:rsid w:val="00DE757D"/>
    <w:rsid w:val="00DF1C47"/>
    <w:rsid w:val="00E12229"/>
    <w:rsid w:val="00E27FDC"/>
    <w:rsid w:val="00E30771"/>
    <w:rsid w:val="00E30F10"/>
    <w:rsid w:val="00E3266F"/>
    <w:rsid w:val="00E34B0F"/>
    <w:rsid w:val="00E427EF"/>
    <w:rsid w:val="00E5263A"/>
    <w:rsid w:val="00E55AB4"/>
    <w:rsid w:val="00E5773B"/>
    <w:rsid w:val="00E71DD0"/>
    <w:rsid w:val="00E757A0"/>
    <w:rsid w:val="00E821FD"/>
    <w:rsid w:val="00E851A3"/>
    <w:rsid w:val="00EA07F9"/>
    <w:rsid w:val="00EA1C21"/>
    <w:rsid w:val="00EA74A0"/>
    <w:rsid w:val="00EA7C91"/>
    <w:rsid w:val="00EB3435"/>
    <w:rsid w:val="00EB6B8F"/>
    <w:rsid w:val="00EC156C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123D0"/>
    <w:rsid w:val="00F20EDA"/>
    <w:rsid w:val="00F24230"/>
    <w:rsid w:val="00F25161"/>
    <w:rsid w:val="00F34187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B59F5"/>
    <w:rsid w:val="00FC0527"/>
    <w:rsid w:val="00FC0E21"/>
    <w:rsid w:val="00FD145E"/>
    <w:rsid w:val="00FD1787"/>
    <w:rsid w:val="00FD35E9"/>
    <w:rsid w:val="00FD7B2C"/>
    <w:rsid w:val="00FE17A8"/>
    <w:rsid w:val="00FE37D5"/>
    <w:rsid w:val="00FE728D"/>
    <w:rsid w:val="00FF3709"/>
    <w:rsid w:val="093627E6"/>
    <w:rsid w:val="2B7A242D"/>
    <w:rsid w:val="2EEA0CDC"/>
    <w:rsid w:val="31166D30"/>
    <w:rsid w:val="4B0A56EC"/>
    <w:rsid w:val="5A4414EF"/>
    <w:rsid w:val="67B4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3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宋体" w:cs="Times New Roman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7"/>
    <w:semiHidden/>
    <w:unhideWhenUsed/>
    <w:uiPriority w:val="99"/>
    <w:rPr>
      <w:b/>
      <w:bCs/>
    </w:rPr>
  </w:style>
  <w:style w:type="paragraph" w:styleId="5">
    <w:name w:val="annotation text"/>
    <w:basedOn w:val="1"/>
    <w:link w:val="26"/>
    <w:semiHidden/>
    <w:unhideWhenUsed/>
    <w:uiPriority w:val="99"/>
    <w:rPr>
      <w:sz w:val="20"/>
      <w:szCs w:val="20"/>
    </w:rPr>
  </w:style>
  <w:style w:type="paragraph" w:styleId="6">
    <w:name w:val="Balloon Text"/>
    <w:basedOn w:val="1"/>
    <w:link w:val="21"/>
    <w:semiHidden/>
    <w:unhideWhenUsed/>
    <w:uiPriority w:val="99"/>
    <w:rPr>
      <w:rFonts w:ascii="Segoe UI" w:hAnsi="Segoe UI" w:eastAsia="宋体" w:cs="Segoe UI"/>
      <w:sz w:val="18"/>
      <w:szCs w:val="18"/>
    </w:rPr>
  </w:style>
  <w:style w:type="paragraph" w:styleId="7">
    <w:name w:val="footer"/>
    <w:basedOn w:val="1"/>
    <w:link w:val="25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24"/>
    <w:unhideWhenUsed/>
    <w:uiPriority w:val="99"/>
    <w:pPr>
      <w:tabs>
        <w:tab w:val="center" w:pos="4680"/>
        <w:tab w:val="right" w:pos="9360"/>
      </w:tabs>
    </w:p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uiPriority w:val="99"/>
    <w:rPr>
      <w:sz w:val="16"/>
      <w:szCs w:val="16"/>
    </w:rPr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spacing w:after="360"/>
      <w:ind w:left="720"/>
      <w:contextualSpacing/>
      <w:jc w:val="both"/>
    </w:pPr>
    <w:rPr>
      <w:rFonts w:ascii="Arial" w:hAnsi="Arial" w:eastAsia="宋体" w:cs="Times New Roman"/>
      <w:sz w:val="20"/>
      <w:szCs w:val="22"/>
      <w:lang w:val="en-GB"/>
    </w:rPr>
  </w:style>
  <w:style w:type="paragraph" w:customStyle="1" w:styleId="17">
    <w:name w:val="lead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paragraph" w:customStyle="1" w:styleId="18">
    <w:name w:val="page-top-spacer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paragraph" w:customStyle="1" w:styleId="19">
    <w:name w:val="medium-7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character" w:customStyle="1" w:styleId="20">
    <w:name w:val="apple-converted-space"/>
    <w:basedOn w:val="9"/>
    <w:uiPriority w:val="0"/>
  </w:style>
  <w:style w:type="character" w:customStyle="1" w:styleId="21">
    <w:name w:val="批注框文本 Char"/>
    <w:basedOn w:val="9"/>
    <w:link w:val="6"/>
    <w:semiHidden/>
    <w:uiPriority w:val="99"/>
    <w:rPr>
      <w:rFonts w:ascii="Segoe UI" w:hAnsi="Segoe UI" w:eastAsia="宋体" w:cs="Segoe UI"/>
      <w:sz w:val="18"/>
      <w:szCs w:val="18"/>
    </w:rPr>
  </w:style>
  <w:style w:type="character" w:customStyle="1" w:styleId="22">
    <w:name w:val="标题 1 Char"/>
    <w:basedOn w:val="9"/>
    <w:link w:val="2"/>
    <w:uiPriority w:val="9"/>
    <w:rPr>
      <w:rFonts w:ascii="Times New Roman" w:hAnsi="Times New Roman" w:eastAsia="宋体" w:cs="Times New Roman"/>
      <w:b/>
      <w:bCs/>
      <w:kern w:val="36"/>
      <w:sz w:val="48"/>
      <w:szCs w:val="48"/>
    </w:rPr>
  </w:style>
  <w:style w:type="character" w:customStyle="1" w:styleId="23">
    <w:name w:val="标题 4 Char"/>
    <w:basedOn w:val="9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页眉 Char"/>
    <w:basedOn w:val="9"/>
    <w:link w:val="8"/>
    <w:uiPriority w:val="99"/>
  </w:style>
  <w:style w:type="character" w:customStyle="1" w:styleId="25">
    <w:name w:val="页脚 Char"/>
    <w:basedOn w:val="9"/>
    <w:link w:val="7"/>
    <w:uiPriority w:val="99"/>
  </w:style>
  <w:style w:type="character" w:customStyle="1" w:styleId="26">
    <w:name w:val="批注文字 Char"/>
    <w:basedOn w:val="9"/>
    <w:link w:val="5"/>
    <w:semiHidden/>
    <w:uiPriority w:val="99"/>
    <w:rPr>
      <w:sz w:val="20"/>
      <w:szCs w:val="20"/>
    </w:rPr>
  </w:style>
  <w:style w:type="character" w:customStyle="1" w:styleId="27">
    <w:name w:val="批注主题 Char"/>
    <w:basedOn w:val="26"/>
    <w:link w:val="4"/>
    <w:semiHidden/>
    <w:uiPriority w:val="99"/>
    <w:rPr>
      <w:b/>
      <w:bCs/>
      <w:sz w:val="20"/>
      <w:szCs w:val="20"/>
    </w:rPr>
  </w:style>
  <w:style w:type="character" w:customStyle="1" w:styleId="28">
    <w:name w:val="Unresolved Mention1"/>
    <w:basedOn w:val="9"/>
    <w:semiHidden/>
    <w:unhideWhenUsed/>
    <w:uiPriority w:val="99"/>
    <w:rPr>
      <w:color w:val="808080"/>
      <w:shd w:val="clear" w:color="auto" w:fill="E6E6E6"/>
    </w:rPr>
  </w:style>
  <w:style w:type="character" w:customStyle="1" w:styleId="29">
    <w:name w:val="Unresolved Mention2"/>
    <w:basedOn w:val="9"/>
    <w:uiPriority w:val="99"/>
    <w:rPr>
      <w:color w:val="808080"/>
      <w:shd w:val="clear" w:color="auto" w:fill="E6E6E6"/>
    </w:rPr>
  </w:style>
  <w:style w:type="character" w:customStyle="1" w:styleId="30">
    <w:name w:val="Unresolved Mention3"/>
    <w:basedOn w:val="9"/>
    <w:uiPriority w:val="99"/>
    <w:rPr>
      <w:color w:val="808080"/>
      <w:shd w:val="clear" w:color="auto" w:fill="E6E6E6"/>
    </w:rPr>
  </w:style>
  <w:style w:type="paragraph" w:customStyle="1" w:styleId="31">
    <w:name w:val="Revision"/>
    <w:hidden/>
    <w:semiHidden/>
    <w:uiPriority w:val="99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customStyle="1" w:styleId="32">
    <w:name w:val="Unresolved Mention"/>
    <w:basedOn w:val="9"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76822-3513-4289-BE71-81309EBDD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LEAP Agency</Company>
  <Pages>2</Pages>
  <Words>253</Words>
  <Characters>1448</Characters>
  <Lines>12</Lines>
  <Paragraphs>3</Paragraphs>
  <TotalTime>2</TotalTime>
  <ScaleCrop>false</ScaleCrop>
  <LinksUpToDate>false</LinksUpToDate>
  <CharactersWithSpaces>1698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2018-07-25T13:40:00Z</dcterms:created>
  <dc:creator>Jignesh Shah</dc:creator>
  <cp:lastModifiedBy>Joseph</cp:lastModifiedBy>
  <cp:lastPrinted>2018-01-16T16:30:00Z</cp:lastPrinted>
  <dcterms:modified xsi:type="dcterms:W3CDTF">2018-08-14T03:46:56Z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2052-10.1.0.7469</vt:lpwstr>
  </property>
</Properties>
</file>