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6127" w14:textId="02B196B9" w:rsidR="004F4D91" w:rsidRPr="000016F6" w:rsidRDefault="004F4D91" w:rsidP="00736897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b/>
          <w:bCs/>
        </w:rPr>
        <w:t>CON CORTESE RICHIESTA DI IMMEDIATA PUBBLICAZIONE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E60017" w14:textId="77777777" w:rsidR="004F4D91" w:rsidRDefault="004F4D91" w:rsidP="00722338">
      <w:pPr>
        <w:rPr>
          <w:b/>
        </w:rPr>
      </w:pPr>
    </w:p>
    <w:p w14:paraId="019E53EB" w14:textId="1D32242A" w:rsidR="00722338" w:rsidRPr="00F54843" w:rsidRDefault="00722338" w:rsidP="00927277">
      <w:pPr>
        <w:rPr>
          <w:b/>
        </w:rPr>
      </w:pPr>
      <w:r>
        <w:rPr>
          <w:b/>
        </w:rPr>
        <w:t>[LOGO SAMTEC]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C8C">
        <w:rPr>
          <w:b/>
        </w:rPr>
        <w:t>Luglio</w:t>
      </w:r>
      <w:r>
        <w:rPr>
          <w:b/>
        </w:rPr>
        <w:t xml:space="preserve"> 2021</w:t>
      </w:r>
    </w:p>
    <w:p w14:paraId="3205FE84" w14:textId="77777777" w:rsidR="00722338" w:rsidRPr="00F54843" w:rsidRDefault="00722338" w:rsidP="002D3D34"/>
    <w:p w14:paraId="2B01E4DF" w14:textId="625F7E7A" w:rsidR="003E38B6" w:rsidRDefault="009004F5" w:rsidP="00D55703">
      <w:pPr>
        <w:jc w:val="center"/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 xml:space="preserve"> introduce la famiglia di array ad alte </w:t>
      </w:r>
      <w:proofErr w:type="spellStart"/>
      <w:r>
        <w:rPr>
          <w:b/>
        </w:rPr>
        <w:t>prestazioni</w:t>
      </w:r>
      <w:r>
        <w:rPr>
          <w:b/>
          <w:shd w:val="clear" w:color="auto" w:fill="FFFFFF"/>
        </w:rPr>
        <w:t>AcceleRate</w:t>
      </w:r>
      <w:proofErr w:type="spellEnd"/>
      <w:r>
        <w:rPr>
          <w:b/>
          <w:shd w:val="clear" w:color="auto" w:fill="FFFFFF"/>
          <w:vertAlign w:val="superscript"/>
        </w:rPr>
        <w:t>®</w:t>
      </w:r>
      <w:r>
        <w:rPr>
          <w:b/>
          <w:shd w:val="clear" w:color="auto" w:fill="FFFFFF"/>
        </w:rPr>
        <w:t xml:space="preserve"> HP</w:t>
      </w:r>
      <w:r>
        <w:rPr>
          <w:shd w:val="clear" w:color="auto" w:fill="FFFFFF"/>
        </w:rPr>
        <w:t xml:space="preserve"> </w:t>
      </w:r>
    </w:p>
    <w:p w14:paraId="175D65B7" w14:textId="3D18A9EC" w:rsidR="00CE1752" w:rsidRPr="00CE1752" w:rsidRDefault="00CE1752" w:rsidP="00D55703">
      <w:pPr>
        <w:jc w:val="center"/>
        <w:rPr>
          <w:bCs/>
          <w:i/>
          <w:iCs/>
        </w:rPr>
      </w:pPr>
    </w:p>
    <w:p w14:paraId="763B9142" w14:textId="3167A16A" w:rsidR="00CE1752" w:rsidRPr="00CE1752" w:rsidRDefault="00344EA9" w:rsidP="00D55703">
      <w:pPr>
        <w:jc w:val="center"/>
        <w:rPr>
          <w:rFonts w:cs="Arial"/>
          <w:bCs/>
          <w:i/>
          <w:iCs/>
          <w:shd w:val="clear" w:color="auto" w:fill="FFFFFF"/>
        </w:rPr>
      </w:pPr>
      <w:r>
        <w:rPr>
          <w:bCs/>
          <w:i/>
          <w:iCs/>
        </w:rPr>
        <w:t>La base per nuove soluzioni di interconnessione PICMG COM-HPC</w:t>
      </w:r>
      <w:r>
        <w:rPr>
          <w:bCs/>
          <w:i/>
          <w:iCs/>
          <w:vertAlign w:val="superscript"/>
        </w:rPr>
        <w:t>®</w:t>
      </w:r>
    </w:p>
    <w:p w14:paraId="6D6EF528" w14:textId="4255A78F" w:rsidR="004372A9" w:rsidRDefault="000E5271" w:rsidP="00923E53">
      <w:pPr>
        <w:spacing w:before="100" w:beforeAutospacing="1" w:after="100" w:afterAutospacing="1"/>
        <w:rPr>
          <w:color w:val="000000" w:themeColor="text1"/>
        </w:rPr>
      </w:pPr>
      <w:r>
        <w:rPr>
          <w:b/>
          <w:color w:val="000000" w:themeColor="text1"/>
        </w:rPr>
        <w:t xml:space="preserve">New Albany, Indiana </w:t>
      </w:r>
      <w:proofErr w:type="gramStart"/>
      <w:r>
        <w:rPr>
          <w:b/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Samtec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Inc</w:t>
      </w:r>
      <w:proofErr w:type="spellEnd"/>
      <w:r>
        <w:rPr>
          <w:color w:val="000000" w:themeColor="text1"/>
        </w:rPr>
        <w:t xml:space="preserve">., una multinazionale a proprietà privata da 800 milioni di dollari che produce una vasta gamma di soluzioni di interconnessione elettroniche, annuncia il lancio degli array ad alte prestazioni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di nuova generazione, che supportano le estreme velocità di trasmissione PAM4 – 112 GB/s – in un ingombro ultra-micro.</w:t>
      </w:r>
    </w:p>
    <w:p w14:paraId="7954CE4D" w14:textId="23AB4731" w:rsidR="00C523F1" w:rsidRDefault="00E7311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Gli array ad alte prestazioni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presentano una configurazione a pin aperta che massimizza la flessibilità della messa a terra e dell’instradamento. Gli architetti di sistemi possono utilizzare linee di tensione ad alta corrente e segnali sbilanciati, a coppie differenziali, attraverso lo stesso sistema di interconnessione. </w:t>
      </w:r>
    </w:p>
    <w:p w14:paraId="08CAB43B" w14:textId="6B09FDA7" w:rsidR="00E73112" w:rsidRDefault="00626BA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Inoltre, il passo delle file – 2,2 / 2,4 / 2,2 mm – facilita l’instradamento di segnali differenziali. La diafonia è migliore grazie al maggiore spazio e alla possibilità di aggiungere ulteriori fori di </w:t>
      </w:r>
      <w:proofErr w:type="spellStart"/>
      <w:r>
        <w:rPr>
          <w:color w:val="000000" w:themeColor="text1"/>
        </w:rPr>
        <w:t>vias</w:t>
      </w:r>
      <w:proofErr w:type="spellEnd"/>
      <w:r>
        <w:rPr>
          <w:color w:val="000000" w:themeColor="text1"/>
        </w:rPr>
        <w:t xml:space="preserve"> intorno ai segnali differenziali.</w:t>
      </w:r>
    </w:p>
    <w:p w14:paraId="568150B3" w14:textId="6EB28F63" w:rsidR="00626BA2" w:rsidRDefault="00626BA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“I nuovi array ad alte prestazioni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di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 stabiliscono lo standard per le altissime velocità di trasmissione PAM4 – 112 GB/s – con un ridotto fattore di forma”, spiega Michael </w:t>
      </w:r>
      <w:proofErr w:type="spellStart"/>
      <w:r>
        <w:rPr>
          <w:color w:val="000000" w:themeColor="text1"/>
        </w:rPr>
        <w:t>Boone</w:t>
      </w:r>
      <w:proofErr w:type="spellEnd"/>
      <w:r>
        <w:rPr>
          <w:color w:val="000000" w:themeColor="text1"/>
        </w:rPr>
        <w:t>, Product Manager High-</w:t>
      </w:r>
      <w:proofErr w:type="spellStart"/>
      <w:r>
        <w:rPr>
          <w:color w:val="000000" w:themeColor="text1"/>
        </w:rPr>
        <w:t>Speed</w:t>
      </w:r>
      <w:proofErr w:type="spellEnd"/>
      <w:r>
        <w:rPr>
          <w:color w:val="000000" w:themeColor="text1"/>
        </w:rPr>
        <w:t xml:space="preserve"> Board-to-Board presso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Inc</w:t>
      </w:r>
      <w:proofErr w:type="spellEnd"/>
      <w:r>
        <w:rPr>
          <w:color w:val="000000" w:themeColor="text1"/>
        </w:rPr>
        <w:t xml:space="preserve">. “Varie applicazioni in rapida diffusione – acceleratori IA, emulatori ASIC e piattaforme di </w:t>
      </w:r>
      <w:proofErr w:type="spellStart"/>
      <w:r>
        <w:rPr>
          <w:color w:val="000000" w:themeColor="text1"/>
        </w:rPr>
        <w:t>edge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computing</w:t>
      </w:r>
      <w:proofErr w:type="spellEnd"/>
      <w:r>
        <w:rPr>
          <w:color w:val="000000" w:themeColor="text1"/>
        </w:rPr>
        <w:t xml:space="preserve"> di nuova generazione – possono utilizzare questi vantaggi unici”. </w:t>
      </w:r>
    </w:p>
    <w:p w14:paraId="3D300E5C" w14:textId="5333ADBE" w:rsidR="00344EA9" w:rsidRDefault="00626BA2" w:rsidP="00344EA9">
      <w:pPr>
        <w:spacing w:before="100" w:beforeAutospacing="1" w:after="100" w:afterAutospacing="1"/>
        <w:rPr>
          <w:color w:val="000000" w:themeColor="text1"/>
        </w:rPr>
      </w:pPr>
      <w:r>
        <w:rPr>
          <w:shd w:val="clear" w:color="auto" w:fill="FFFFFF"/>
        </w:rPr>
        <w:t xml:space="preserve">Caratteristiche chiave degli </w:t>
      </w:r>
      <w:r>
        <w:rPr>
          <w:color w:val="000000" w:themeColor="text1"/>
        </w:rPr>
        <w:t xml:space="preserve">array ad alte prestazioni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HP:</w:t>
      </w:r>
    </w:p>
    <w:p w14:paraId="30CA8529" w14:textId="269661B4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Passo di notevole densità: 0,635 mm</w:t>
      </w:r>
    </w:p>
    <w:p w14:paraId="4D77E907" w14:textId="77777777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 xml:space="preserve">Altezze di impilamento a basso profilo – 5 mm – e fino a 10 mm </w:t>
      </w:r>
    </w:p>
    <w:p w14:paraId="6DDCA2FB" w14:textId="77777777" w:rsidR="00626BA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Fino a 400 pin in totale disponibili</w:t>
      </w:r>
    </w:p>
    <w:p w14:paraId="0C337F2C" w14:textId="7FBC6F82" w:rsidR="00E73112" w:rsidRDefault="00626BA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Piani in corso per arrivare a oltre 1.000 pin</w:t>
      </w:r>
    </w:p>
    <w:p w14:paraId="1FA04910" w14:textId="16E6BF9A" w:rsidR="00344EA9" w:rsidRDefault="00E73112" w:rsidP="00344EA9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 xml:space="preserve">Velocità di trasmissione dati compatibile con </w:t>
      </w:r>
      <w:proofErr w:type="spellStart"/>
      <w:r>
        <w:rPr>
          <w:shd w:val="clear" w:color="auto" w:fill="FFFFFF"/>
        </w:rPr>
        <w:t>PCIe</w:t>
      </w:r>
      <w:proofErr w:type="spellEnd"/>
      <w:r>
        <w:rPr>
          <w:shd w:val="clear" w:color="auto" w:fill="FFFFFF"/>
        </w:rPr>
        <w:t xml:space="preserve">® 5.0 e 100 </w:t>
      </w:r>
      <w:proofErr w:type="spellStart"/>
      <w:r>
        <w:rPr>
          <w:shd w:val="clear" w:color="auto" w:fill="FFFFFF"/>
        </w:rPr>
        <w:t>GbE</w:t>
      </w:r>
      <w:proofErr w:type="spellEnd"/>
    </w:p>
    <w:p w14:paraId="11B12311" w14:textId="1D4E5986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Terminazione BGA per facilitare l’assemblaggio e l’</w:t>
      </w:r>
      <w:proofErr w:type="spellStart"/>
      <w:r>
        <w:rPr>
          <w:shd w:val="clear" w:color="auto" w:fill="FFFFFF"/>
        </w:rPr>
        <w:t>autoallineamento</w:t>
      </w:r>
      <w:proofErr w:type="spellEnd"/>
    </w:p>
    <w:p w14:paraId="2A8DA459" w14:textId="77777777" w:rsidR="00E73112" w:rsidRPr="00E73112" w:rsidRDefault="00E73112" w:rsidP="00E73112">
      <w:pPr>
        <w:ind w:left="720"/>
        <w:contextualSpacing/>
        <w:rPr>
          <w:rFonts w:eastAsia="Times New Roman" w:cs="Arial"/>
          <w:shd w:val="clear" w:color="auto" w:fill="FFFFFF"/>
        </w:rPr>
      </w:pPr>
    </w:p>
    <w:p w14:paraId="51B74FA5" w14:textId="0B40246B" w:rsidR="00344EA9" w:rsidRPr="00344EA9" w:rsidRDefault="00344EA9" w:rsidP="00344EA9">
      <w:pPr>
        <w:rPr>
          <w:rFonts w:eastAsia="Times New Roman" w:cs="Arial"/>
          <w:shd w:val="clear" w:color="auto" w:fill="FFFFFF"/>
        </w:rPr>
      </w:pPr>
      <w:r>
        <w:t xml:space="preserve">Per maggiori informazioni sugli array ad alte prestazioni </w:t>
      </w:r>
      <w:proofErr w:type="spellStart"/>
      <w:r>
        <w:t>AcceleRate</w:t>
      </w:r>
      <w:proofErr w:type="spellEnd"/>
      <w:r>
        <w:t xml:space="preserve"> HP visitare </w:t>
      </w:r>
      <w:hyperlink r:id="rId8" w:history="1">
        <w:r>
          <w:rPr>
            <w:rStyle w:val="Hyperlink"/>
          </w:rPr>
          <w:t>www.samtec.com/accelerateHP</w:t>
        </w:r>
      </w:hyperlink>
      <w:r>
        <w:t xml:space="preserve">. </w:t>
      </w:r>
    </w:p>
    <w:p w14:paraId="06F8235A" w14:textId="56B54E86" w:rsidR="00344EA9" w:rsidRDefault="00CE1752" w:rsidP="00344EA9">
      <w:pPr>
        <w:spacing w:before="100" w:beforeAutospacing="1" w:after="100" w:afterAutospacing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Connettori PICMG COM-HPC</w:t>
      </w:r>
    </w:p>
    <w:p w14:paraId="311C97F7" w14:textId="76617A71" w:rsidR="00101706" w:rsidRPr="00344EA9" w:rsidRDefault="00CE1752" w:rsidP="00344EA9">
      <w:pPr>
        <w:spacing w:before="100" w:beforeAutospacing="1" w:after="100" w:afterAutospacing="1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Le nuove specifiche PICMG COM-HPC offrono flessibilità del sistema e dell’interfaccia adottando una coppia di connettori a 400 pin basata sugli array ad alte prestazioni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di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. I connettori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 COM-HPC collegano le portanti a moduli </w:t>
      </w:r>
      <w:r>
        <w:rPr>
          <w:color w:val="000000" w:themeColor="text1"/>
        </w:rPr>
        <w:lastRenderedPageBreak/>
        <w:t xml:space="preserve">server e </w:t>
      </w:r>
      <w:proofErr w:type="gramStart"/>
      <w:r>
        <w:rPr>
          <w:color w:val="000000" w:themeColor="text1"/>
        </w:rPr>
        <w:t>client,  e</w:t>
      </w:r>
      <w:proofErr w:type="gramEnd"/>
      <w:r>
        <w:rPr>
          <w:color w:val="000000" w:themeColor="text1"/>
        </w:rPr>
        <w:t xml:space="preserve"> supportano interfacce attuali e future, quali </w:t>
      </w:r>
      <w:proofErr w:type="spellStart"/>
      <w:r>
        <w:rPr>
          <w:color w:val="000000" w:themeColor="text1"/>
        </w:rPr>
        <w:t>PCIe</w:t>
      </w:r>
      <w:proofErr w:type="spellEnd"/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5.0 e fino a 100 </w:t>
      </w:r>
      <w:proofErr w:type="spellStart"/>
      <w:r>
        <w:rPr>
          <w:color w:val="000000" w:themeColor="text1"/>
        </w:rPr>
        <w:t>GbE</w:t>
      </w:r>
      <w:proofErr w:type="spellEnd"/>
      <w:r>
        <w:rPr>
          <w:color w:val="000000" w:themeColor="text1"/>
        </w:rPr>
        <w:t xml:space="preserve">. Le coppie di connettori supportano un’altezza di impilamento </w:t>
      </w:r>
      <w:r w:rsidR="00EA159F">
        <w:rPr>
          <w:color w:val="000000" w:themeColor="text1"/>
        </w:rPr>
        <w:t>di</w:t>
      </w:r>
      <w:r>
        <w:rPr>
          <w:color w:val="000000" w:themeColor="text1"/>
        </w:rPr>
        <w:t xml:space="preserve"> 5 mm o 10 mm.</w:t>
      </w:r>
    </w:p>
    <w:p w14:paraId="4C5B8360" w14:textId="2505A106" w:rsidR="00DA1678" w:rsidRPr="00BB2D2C" w:rsidRDefault="00DA1678" w:rsidP="00DA1678">
      <w:pPr>
        <w:rPr>
          <w:color w:val="000000" w:themeColor="text1"/>
        </w:rPr>
      </w:pPr>
      <w:bookmarkStart w:id="0" w:name="_Hlk20236930"/>
      <w:bookmarkStart w:id="1" w:name="_Hlk20326295"/>
      <w:r>
        <w:t xml:space="preserve">Per ulteriori informazioni sui connettori </w:t>
      </w:r>
      <w:proofErr w:type="spellStart"/>
      <w:r>
        <w:t>Samtec</w:t>
      </w:r>
      <w:proofErr w:type="spellEnd"/>
      <w:r>
        <w:t xml:space="preserve"> COM-HPC, scaricare la </w:t>
      </w:r>
      <w:hyperlink r:id="rId9" w:history="1">
        <w:r>
          <w:rPr>
            <w:rStyle w:val="Hyperlink"/>
          </w:rPr>
          <w:t>brochure sulle soluzioni di interconnessione COM-HPC</w:t>
        </w:r>
      </w:hyperlink>
      <w:r>
        <w:t xml:space="preserve">, visitare </w:t>
      </w:r>
      <w:hyperlink r:id="rId10" w:history="1">
        <w:r>
          <w:rPr>
            <w:rStyle w:val="Hyperlink"/>
          </w:rPr>
          <w:t>www.samtec.com/COMHPC</w:t>
        </w:r>
      </w:hyperlink>
      <w:r>
        <w:t xml:space="preserve"> o inviare un’email ai nostri esperti tecnici all’indirizzo </w:t>
      </w:r>
      <w:hyperlink r:id="rId11" w:history="1">
        <w:r>
          <w:rPr>
            <w:rStyle w:val="Hyperlink"/>
          </w:rPr>
          <w:t>COMHPC@samtec.com</w:t>
        </w:r>
      </w:hyperlink>
      <w:r>
        <w:t xml:space="preserve">. </w:t>
      </w:r>
    </w:p>
    <w:p w14:paraId="08DC29C5" w14:textId="77777777" w:rsidR="00DA1678" w:rsidRDefault="00DA1678" w:rsidP="008F43AA">
      <w:pPr>
        <w:rPr>
          <w:b/>
        </w:rPr>
      </w:pPr>
    </w:p>
    <w:p w14:paraId="6A0CE51E" w14:textId="311058EF" w:rsidR="00BB2D2C" w:rsidRDefault="00BB2D2C" w:rsidP="00BB2D2C">
      <w:pPr>
        <w:rPr>
          <w:b/>
        </w:rPr>
      </w:pPr>
      <w:r>
        <w:rPr>
          <w:b/>
          <w:bCs/>
        </w:rPr>
        <w:t xml:space="preserve">Informazioni su </w:t>
      </w:r>
      <w:proofErr w:type="spellStart"/>
      <w:r>
        <w:rPr>
          <w:b/>
          <w:bCs/>
        </w:rPr>
        <w:t>Samtec</w:t>
      </w:r>
      <w:proofErr w:type="spellEnd"/>
      <w:r>
        <w:rPr>
          <w:b/>
        </w:rPr>
        <w:cr/>
      </w:r>
      <w:r>
        <w:rPr>
          <w:b/>
        </w:rPr>
        <w:br/>
      </w:r>
      <w:r>
        <w:t xml:space="preserve">Fondata nel 1976, </w:t>
      </w:r>
      <w:proofErr w:type="spellStart"/>
      <w:r>
        <w:t>Samtec</w:t>
      </w:r>
      <w:proofErr w:type="spellEnd"/>
      <w:r>
        <w:t xml:space="preserve"> è una multinazionale a proprietà privata da 800 milioni di dollari che produce una vasta gamma di soluzioni di interconnessione elettroniche – da scheda a scheda ad alta velocità, cavi per frequenze elevate, dispositivi ottici da pannello e </w:t>
      </w:r>
      <w:proofErr w:type="spellStart"/>
      <w:r>
        <w:t>mid-board</w:t>
      </w:r>
      <w:proofErr w:type="spellEnd"/>
      <w:r>
        <w:t xml:space="preserve">, componenti e cavi RF di precisione, per impilamento flessibile ultracompatti/estremamente robusti. Con oltre 40 sedi nel mondo e prodotti venduti in più di 125 Paesi, </w:t>
      </w:r>
      <w:proofErr w:type="spellStart"/>
      <w:r>
        <w:t>Samtec</w:t>
      </w:r>
      <w:proofErr w:type="spellEnd"/>
      <w:r>
        <w:t xml:space="preserve"> vanta una presenza globale che le permette di offrire un servizio clienti ineguagliato. Per saperne di più visitare </w:t>
      </w:r>
      <w:hyperlink r:id="rId12" w:tgtFrame="_blank" w:history="1">
        <w:r>
          <w:rPr>
            <w:rStyle w:val="Hyperlink"/>
          </w:rPr>
          <w:t>http://www.samtec.com</w:t>
        </w:r>
      </w:hyperlink>
      <w:r>
        <w:t>.</w:t>
      </w:r>
    </w:p>
    <w:p w14:paraId="5FF1E196" w14:textId="77777777" w:rsidR="00DC5C10" w:rsidRDefault="00DC5C10" w:rsidP="000E0B7D">
      <w:pPr>
        <w:rPr>
          <w:color w:val="000000" w:themeColor="text1"/>
        </w:rPr>
      </w:pPr>
    </w:p>
    <w:bookmarkEnd w:id="0"/>
    <w:p w14:paraId="6133B971" w14:textId="77777777" w:rsidR="00054FE6" w:rsidRPr="00365A30" w:rsidRDefault="002B5934" w:rsidP="008F43AA">
      <w:pPr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</w:t>
      </w:r>
      <w:proofErr w:type="spellEnd"/>
      <w:r>
        <w:rPr>
          <w:b/>
        </w:rPr>
        <w:t>.</w:t>
      </w:r>
    </w:p>
    <w:p w14:paraId="185E1831" w14:textId="77777777" w:rsidR="00054FE6" w:rsidRPr="00EA159F" w:rsidRDefault="006A518D" w:rsidP="008F43AA">
      <w:pPr>
        <w:rPr>
          <w:b/>
          <w:lang w:val="en-US"/>
        </w:rPr>
      </w:pPr>
      <w:r w:rsidRPr="00EA159F">
        <w:rPr>
          <w:b/>
          <w:lang w:val="en-US"/>
        </w:rPr>
        <w:t>P.O. Box 1147</w:t>
      </w:r>
    </w:p>
    <w:p w14:paraId="6CD2D81B" w14:textId="77777777" w:rsidR="00054FE6" w:rsidRPr="00EA159F" w:rsidRDefault="006A518D" w:rsidP="008F43AA">
      <w:pPr>
        <w:rPr>
          <w:b/>
          <w:lang w:val="en-US"/>
        </w:rPr>
      </w:pPr>
      <w:r w:rsidRPr="00EA159F">
        <w:rPr>
          <w:b/>
          <w:lang w:val="en-US"/>
        </w:rPr>
        <w:t xml:space="preserve">New Albany, IN 47151-1147 </w:t>
      </w:r>
    </w:p>
    <w:p w14:paraId="6FB96882" w14:textId="77777777" w:rsidR="00054FE6" w:rsidRPr="00A84ED0" w:rsidRDefault="006A518D" w:rsidP="008F43AA">
      <w:pPr>
        <w:rPr>
          <w:b/>
        </w:rPr>
      </w:pPr>
      <w:r>
        <w:rPr>
          <w:b/>
        </w:rPr>
        <w:t xml:space="preserve">USA </w:t>
      </w:r>
    </w:p>
    <w:p w14:paraId="36EB483A" w14:textId="77777777" w:rsidR="00054FE6" w:rsidRPr="00A84ED0" w:rsidRDefault="006A518D" w:rsidP="008F43AA">
      <w:pPr>
        <w:rPr>
          <w:b/>
        </w:rPr>
      </w:pPr>
      <w:r>
        <w:rPr>
          <w:b/>
        </w:rPr>
        <w:t>Telefono: 1-800-SAMTEC-9 (800-726-8329)</w:t>
      </w:r>
    </w:p>
    <w:p w14:paraId="7B3E9C6D" w14:textId="1FE66C38" w:rsidR="001836B4" w:rsidRPr="00A84ED0" w:rsidRDefault="004C3A52" w:rsidP="008F43AA">
      <w:pPr>
        <w:rPr>
          <w:b/>
        </w:rPr>
      </w:pPr>
      <w:hyperlink r:id="rId13" w:history="1">
        <w:r w:rsidR="00BB4890">
          <w:rPr>
            <w:rStyle w:val="Hyperlink"/>
            <w:b/>
          </w:rPr>
          <w:t>www.samtec.com</w:t>
        </w:r>
      </w:hyperlink>
      <w:r w:rsidR="00BB4890">
        <w:rPr>
          <w:b/>
        </w:rPr>
        <w:t xml:space="preserve"> </w:t>
      </w:r>
      <w:bookmarkEnd w:id="1"/>
    </w:p>
    <w:p w14:paraId="65D27443" w14:textId="55C318F6" w:rsidR="008C11F5" w:rsidRPr="00A84ED0" w:rsidRDefault="008C11F5" w:rsidP="008F43AA">
      <w:pPr>
        <w:rPr>
          <w:lang w:val="fr-FR"/>
        </w:rPr>
      </w:pPr>
    </w:p>
    <w:p w14:paraId="26EE9680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color w:val="000000"/>
        </w:rPr>
        <w:t xml:space="preserve">### </w:t>
      </w:r>
    </w:p>
    <w:p w14:paraId="2A1081EB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b/>
          <w:bCs/>
          <w:color w:val="000000"/>
        </w:rPr>
        <w:t xml:space="preserve">Referente PR </w:t>
      </w:r>
    </w:p>
    <w:p w14:paraId="5654F0E8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t>Matt Burns</w:t>
      </w:r>
    </w:p>
    <w:p w14:paraId="13AADAA3" w14:textId="77777777" w:rsidR="008C11F5" w:rsidRPr="00A84ED0" w:rsidRDefault="004C3A52" w:rsidP="008C11F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hyperlink r:id="rId14" w:history="1">
        <w:r w:rsidR="00BB4890">
          <w:rPr>
            <w:rStyle w:val="Hyperlink"/>
          </w:rPr>
          <w:t>matthew.burns@samtec.com</w:t>
        </w:r>
      </w:hyperlink>
    </w:p>
    <w:p w14:paraId="1C925757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t>812-944-6733</w:t>
      </w:r>
    </w:p>
    <w:p w14:paraId="38A1816A" w14:textId="76018DA0" w:rsidR="008C11F5" w:rsidRPr="00A84ED0" w:rsidRDefault="008C11F5" w:rsidP="008F43AA">
      <w:pPr>
        <w:rPr>
          <w:lang w:val="fr-FR"/>
        </w:rPr>
      </w:pPr>
    </w:p>
    <w:sectPr w:rsidR="008C11F5" w:rsidRPr="00A84ED0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0C71" w14:textId="77777777" w:rsidR="004C3A52" w:rsidRDefault="004C3A52" w:rsidP="00046271">
      <w:r>
        <w:separator/>
      </w:r>
    </w:p>
  </w:endnote>
  <w:endnote w:type="continuationSeparator" w:id="0">
    <w:p w14:paraId="4DC71F0A" w14:textId="77777777" w:rsidR="004C3A52" w:rsidRDefault="004C3A52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821D" w14:textId="77777777" w:rsidR="004C3A52" w:rsidRDefault="004C3A52" w:rsidP="00046271">
      <w:r>
        <w:separator/>
      </w:r>
    </w:p>
  </w:footnote>
  <w:footnote w:type="continuationSeparator" w:id="0">
    <w:p w14:paraId="40C63779" w14:textId="77777777" w:rsidR="004C3A52" w:rsidRDefault="004C3A52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8C"/>
    <w:multiLevelType w:val="multilevel"/>
    <w:tmpl w:val="180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D98"/>
    <w:multiLevelType w:val="hybridMultilevel"/>
    <w:tmpl w:val="B5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ED71C0"/>
    <w:multiLevelType w:val="hybridMultilevel"/>
    <w:tmpl w:val="EA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6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853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706"/>
    <w:rsid w:val="00101B22"/>
    <w:rsid w:val="00102CA8"/>
    <w:rsid w:val="001134AC"/>
    <w:rsid w:val="001220D3"/>
    <w:rsid w:val="00123CA7"/>
    <w:rsid w:val="001275EE"/>
    <w:rsid w:val="001308CB"/>
    <w:rsid w:val="001337F4"/>
    <w:rsid w:val="00134B71"/>
    <w:rsid w:val="00137AED"/>
    <w:rsid w:val="0014284B"/>
    <w:rsid w:val="001442F7"/>
    <w:rsid w:val="00152E6B"/>
    <w:rsid w:val="00153EC7"/>
    <w:rsid w:val="00160605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0998"/>
    <w:rsid w:val="001F2CBB"/>
    <w:rsid w:val="00201A22"/>
    <w:rsid w:val="002132DF"/>
    <w:rsid w:val="002137CA"/>
    <w:rsid w:val="00226FA7"/>
    <w:rsid w:val="0023344F"/>
    <w:rsid w:val="00240012"/>
    <w:rsid w:val="00243A49"/>
    <w:rsid w:val="002555D2"/>
    <w:rsid w:val="00255C37"/>
    <w:rsid w:val="00264DF5"/>
    <w:rsid w:val="002674F0"/>
    <w:rsid w:val="002716BE"/>
    <w:rsid w:val="00295825"/>
    <w:rsid w:val="002969DD"/>
    <w:rsid w:val="002A3CC6"/>
    <w:rsid w:val="002B2857"/>
    <w:rsid w:val="002B2CA6"/>
    <w:rsid w:val="002B31A8"/>
    <w:rsid w:val="002B5934"/>
    <w:rsid w:val="002C3512"/>
    <w:rsid w:val="002C491D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03166"/>
    <w:rsid w:val="003148ED"/>
    <w:rsid w:val="00315FF5"/>
    <w:rsid w:val="0031788A"/>
    <w:rsid w:val="00342155"/>
    <w:rsid w:val="00344EA9"/>
    <w:rsid w:val="0035700D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76CD4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C0647"/>
    <w:rsid w:val="004C3A52"/>
    <w:rsid w:val="004E7E75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551AE"/>
    <w:rsid w:val="00560BC6"/>
    <w:rsid w:val="0057124F"/>
    <w:rsid w:val="005867D6"/>
    <w:rsid w:val="00586C0C"/>
    <w:rsid w:val="00590914"/>
    <w:rsid w:val="005967B6"/>
    <w:rsid w:val="005A4774"/>
    <w:rsid w:val="005A51AB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6BA2"/>
    <w:rsid w:val="0062773B"/>
    <w:rsid w:val="00634E19"/>
    <w:rsid w:val="0063608C"/>
    <w:rsid w:val="00643A3B"/>
    <w:rsid w:val="006448E3"/>
    <w:rsid w:val="0064510A"/>
    <w:rsid w:val="00661AFD"/>
    <w:rsid w:val="0067252F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45A0"/>
    <w:rsid w:val="007054B2"/>
    <w:rsid w:val="00713252"/>
    <w:rsid w:val="0071540A"/>
    <w:rsid w:val="007165A0"/>
    <w:rsid w:val="00720DE3"/>
    <w:rsid w:val="00722338"/>
    <w:rsid w:val="00736897"/>
    <w:rsid w:val="00745AB3"/>
    <w:rsid w:val="00750EA3"/>
    <w:rsid w:val="00753F97"/>
    <w:rsid w:val="007635D9"/>
    <w:rsid w:val="00763682"/>
    <w:rsid w:val="00763F1B"/>
    <w:rsid w:val="00790D43"/>
    <w:rsid w:val="00796C37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3492F"/>
    <w:rsid w:val="00846793"/>
    <w:rsid w:val="008467F3"/>
    <w:rsid w:val="00847B63"/>
    <w:rsid w:val="008509EA"/>
    <w:rsid w:val="00854481"/>
    <w:rsid w:val="00854FB6"/>
    <w:rsid w:val="008572C3"/>
    <w:rsid w:val="008633BA"/>
    <w:rsid w:val="00863AED"/>
    <w:rsid w:val="00880D96"/>
    <w:rsid w:val="00884B30"/>
    <w:rsid w:val="008969F0"/>
    <w:rsid w:val="008A04FF"/>
    <w:rsid w:val="008A2F6D"/>
    <w:rsid w:val="008A6C19"/>
    <w:rsid w:val="008B1C8C"/>
    <w:rsid w:val="008B5048"/>
    <w:rsid w:val="008B6312"/>
    <w:rsid w:val="008C11F5"/>
    <w:rsid w:val="008C68DD"/>
    <w:rsid w:val="008D1691"/>
    <w:rsid w:val="008E6B1A"/>
    <w:rsid w:val="008F43AA"/>
    <w:rsid w:val="008F593C"/>
    <w:rsid w:val="009004F5"/>
    <w:rsid w:val="009042EB"/>
    <w:rsid w:val="00904897"/>
    <w:rsid w:val="00911378"/>
    <w:rsid w:val="00921752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4ED0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AF4594"/>
    <w:rsid w:val="00B122E0"/>
    <w:rsid w:val="00B21089"/>
    <w:rsid w:val="00B334AB"/>
    <w:rsid w:val="00B45B8D"/>
    <w:rsid w:val="00B4667F"/>
    <w:rsid w:val="00B563B4"/>
    <w:rsid w:val="00B57239"/>
    <w:rsid w:val="00B61BC5"/>
    <w:rsid w:val="00B6327A"/>
    <w:rsid w:val="00B77C50"/>
    <w:rsid w:val="00B82AE2"/>
    <w:rsid w:val="00B94B41"/>
    <w:rsid w:val="00B97A8E"/>
    <w:rsid w:val="00BA1821"/>
    <w:rsid w:val="00BB2D2C"/>
    <w:rsid w:val="00BB4009"/>
    <w:rsid w:val="00BB4890"/>
    <w:rsid w:val="00BB612A"/>
    <w:rsid w:val="00BC027A"/>
    <w:rsid w:val="00BD007D"/>
    <w:rsid w:val="00BD7624"/>
    <w:rsid w:val="00BF116F"/>
    <w:rsid w:val="00BF1CFF"/>
    <w:rsid w:val="00BF452A"/>
    <w:rsid w:val="00C15ECF"/>
    <w:rsid w:val="00C22639"/>
    <w:rsid w:val="00C3195A"/>
    <w:rsid w:val="00C32433"/>
    <w:rsid w:val="00C3422E"/>
    <w:rsid w:val="00C34E8C"/>
    <w:rsid w:val="00C35AFC"/>
    <w:rsid w:val="00C37572"/>
    <w:rsid w:val="00C40260"/>
    <w:rsid w:val="00C523F1"/>
    <w:rsid w:val="00C52F15"/>
    <w:rsid w:val="00C6658E"/>
    <w:rsid w:val="00C72172"/>
    <w:rsid w:val="00C924EF"/>
    <w:rsid w:val="00CB0BCB"/>
    <w:rsid w:val="00CB5D17"/>
    <w:rsid w:val="00CC2122"/>
    <w:rsid w:val="00CC2C19"/>
    <w:rsid w:val="00CE1752"/>
    <w:rsid w:val="00CF1D72"/>
    <w:rsid w:val="00CF775A"/>
    <w:rsid w:val="00D15355"/>
    <w:rsid w:val="00D22156"/>
    <w:rsid w:val="00D2221B"/>
    <w:rsid w:val="00D239FD"/>
    <w:rsid w:val="00D23EF7"/>
    <w:rsid w:val="00D241F2"/>
    <w:rsid w:val="00D24CAF"/>
    <w:rsid w:val="00D308E6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678"/>
    <w:rsid w:val="00DA189B"/>
    <w:rsid w:val="00DA4EAA"/>
    <w:rsid w:val="00DC54CB"/>
    <w:rsid w:val="00DC5C10"/>
    <w:rsid w:val="00DC5CE8"/>
    <w:rsid w:val="00DC6FAD"/>
    <w:rsid w:val="00DD73D5"/>
    <w:rsid w:val="00DF1C47"/>
    <w:rsid w:val="00DF3BD4"/>
    <w:rsid w:val="00E30F10"/>
    <w:rsid w:val="00E34B0F"/>
    <w:rsid w:val="00E445B6"/>
    <w:rsid w:val="00E5263A"/>
    <w:rsid w:val="00E55AB4"/>
    <w:rsid w:val="00E5773B"/>
    <w:rsid w:val="00E62906"/>
    <w:rsid w:val="00E71DD0"/>
    <w:rsid w:val="00E730A9"/>
    <w:rsid w:val="00E73112"/>
    <w:rsid w:val="00E7314E"/>
    <w:rsid w:val="00E821FD"/>
    <w:rsid w:val="00E82A3B"/>
    <w:rsid w:val="00E851A3"/>
    <w:rsid w:val="00E907C5"/>
    <w:rsid w:val="00E9169F"/>
    <w:rsid w:val="00EA07F9"/>
    <w:rsid w:val="00EA159F"/>
    <w:rsid w:val="00EA4B34"/>
    <w:rsid w:val="00EA7C91"/>
    <w:rsid w:val="00EB3435"/>
    <w:rsid w:val="00EB3989"/>
    <w:rsid w:val="00EB7241"/>
    <w:rsid w:val="00EC156C"/>
    <w:rsid w:val="00EC172C"/>
    <w:rsid w:val="00EC4E18"/>
    <w:rsid w:val="00EC5073"/>
    <w:rsid w:val="00ED57EE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54543"/>
    <w:rsid w:val="00F54843"/>
    <w:rsid w:val="00F668DA"/>
    <w:rsid w:val="00F770BC"/>
    <w:rsid w:val="00F82B47"/>
    <w:rsid w:val="00F85FB5"/>
    <w:rsid w:val="00F861AE"/>
    <w:rsid w:val="00F86DBA"/>
    <w:rsid w:val="00F90FD3"/>
    <w:rsid w:val="00F94DF3"/>
    <w:rsid w:val="00FA0C5D"/>
    <w:rsid w:val="00FB3EC5"/>
    <w:rsid w:val="00FB3FCC"/>
    <w:rsid w:val="00FB554D"/>
    <w:rsid w:val="00FC0E21"/>
    <w:rsid w:val="00FC748B"/>
    <w:rsid w:val="00FD1787"/>
    <w:rsid w:val="00FD1A3C"/>
    <w:rsid w:val="00FD35E9"/>
    <w:rsid w:val="00FE10BA"/>
    <w:rsid w:val="00FE17A8"/>
    <w:rsid w:val="00FE5183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1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73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accelerateHP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HPC@sam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tec.com/COMH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dendocs.samtec.com/ebrochures/samtec-com-hpc-ebrochure.pdf" TargetMode="External"/><Relationship Id="rId14" Type="http://schemas.openxmlformats.org/officeDocument/2006/relationships/hyperlink" Target="mailto:matthew.burns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6C6A-8D33-4B91-A173-2F32BE5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Paul Eident</cp:lastModifiedBy>
  <cp:revision>3</cp:revision>
  <cp:lastPrinted>2017-10-30T20:02:00Z</cp:lastPrinted>
  <dcterms:created xsi:type="dcterms:W3CDTF">2021-06-22T07:24:00Z</dcterms:created>
  <dcterms:modified xsi:type="dcterms:W3CDTF">2021-07-14T13:46:00Z</dcterms:modified>
</cp:coreProperties>
</file>